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tabs>
          <w:tab w:val="left" w:pos="11340"/>
        </w:tabs>
        <w:spacing w:line="560" w:lineRule="exact"/>
        <w:ind w:left="4018" w:hanging="4029" w:hangingChars="900"/>
        <w:jc w:val="center"/>
        <w:rPr>
          <w:rFonts w:hint="default" w:ascii="Times New Roman" w:hAnsi="Times New Roman" w:eastAsia="方正小标宋简体" w:cs="Times New Roman"/>
          <w:b/>
          <w:bCs/>
          <w:color w:val="auto"/>
          <w:spacing w:val="3"/>
          <w:sz w:val="44"/>
          <w:szCs w:val="44"/>
        </w:rPr>
      </w:pPr>
      <w:r>
        <w:rPr>
          <w:rFonts w:hint="default" w:ascii="Times New Roman" w:hAnsi="Times New Roman" w:eastAsia="方正小标宋简体" w:cs="Times New Roman"/>
          <w:b/>
          <w:bCs/>
          <w:color w:val="auto"/>
          <w:spacing w:val="3"/>
          <w:sz w:val="44"/>
          <w:szCs w:val="44"/>
        </w:rPr>
        <w:t>惠州市国有建设用地使用权</w:t>
      </w:r>
    </w:p>
    <w:p>
      <w:pPr>
        <w:tabs>
          <w:tab w:val="left" w:pos="11340"/>
        </w:tabs>
        <w:spacing w:line="560" w:lineRule="exact"/>
        <w:ind w:left="4018" w:hanging="4029" w:hangingChars="900"/>
        <w:jc w:val="center"/>
        <w:rPr>
          <w:rFonts w:hint="default" w:ascii="Times New Roman" w:hAnsi="Times New Roman" w:eastAsia="仿宋_GB2312" w:cs="Times New Roman"/>
          <w:color w:val="auto"/>
          <w:sz w:val="32"/>
          <w:szCs w:val="32"/>
          <w:highlight w:val="none"/>
        </w:rPr>
      </w:pPr>
      <w:r>
        <w:rPr>
          <w:rFonts w:hint="default" w:ascii="Times New Roman" w:hAnsi="Times New Roman" w:eastAsia="方正小标宋简体" w:cs="Times New Roman"/>
          <w:b/>
          <w:bCs/>
          <w:color w:val="auto"/>
          <w:spacing w:val="3"/>
          <w:sz w:val="44"/>
          <w:szCs w:val="44"/>
        </w:rPr>
        <w:t>网上挂牌</w:t>
      </w:r>
      <w:r>
        <w:rPr>
          <w:rFonts w:hint="default" w:ascii="Times New Roman" w:hAnsi="Times New Roman" w:eastAsia="方正小标宋简体" w:cs="Times New Roman"/>
          <w:b/>
          <w:bCs/>
          <w:color w:val="auto"/>
          <w:sz w:val="44"/>
          <w:szCs w:val="44"/>
        </w:rPr>
        <w:t>出让公告</w:t>
      </w:r>
    </w:p>
    <w:p>
      <w:pPr>
        <w:spacing w:line="560" w:lineRule="exact"/>
        <w:jc w:val="center"/>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惠市资源挂出告字[2022]</w:t>
      </w:r>
      <w:r>
        <w:rPr>
          <w:rFonts w:hint="default" w:ascii="Times New Roman" w:hAnsi="Times New Roman" w:eastAsia="仿宋_GB2312" w:cs="Times New Roman"/>
          <w:color w:val="auto"/>
          <w:sz w:val="32"/>
          <w:szCs w:val="32"/>
          <w:highlight w:val="none"/>
          <w:lang w:val="en-US" w:eastAsia="zh-CN"/>
        </w:rPr>
        <w:t>004</w:t>
      </w:r>
      <w:r>
        <w:rPr>
          <w:rFonts w:hint="default" w:ascii="Times New Roman" w:hAnsi="Times New Roman" w:eastAsia="仿宋_GB2312" w:cs="Times New Roman"/>
          <w:color w:val="auto"/>
          <w:sz w:val="32"/>
          <w:szCs w:val="32"/>
          <w:highlight w:val="none"/>
        </w:rPr>
        <w:t>号</w:t>
      </w:r>
    </w:p>
    <w:p>
      <w:pPr>
        <w:pStyle w:val="2"/>
        <w:rPr>
          <w:rFonts w:hint="default" w:ascii="Times New Roman" w:hAnsi="Times New Roman" w:cs="Times New Roman"/>
          <w:color w:val="auto"/>
        </w:rPr>
      </w:pP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根据《招标拍卖挂牌出让国有建设用地使用权规定》</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国土资源部令第39号</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和《广东省土地使用权交易市场管理规定》</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广东省人民政府令第79号</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的规定，经批准，</w:t>
      </w:r>
      <w:r>
        <w:rPr>
          <w:rFonts w:hint="default" w:ascii="Times New Roman" w:hAnsi="Times New Roman" w:eastAsia="仿宋_GB2312" w:cs="Times New Roman"/>
          <w:b w:val="0"/>
          <w:bCs w:val="0"/>
          <w:color w:val="auto"/>
          <w:sz w:val="32"/>
          <w:szCs w:val="32"/>
          <w:lang w:eastAsia="zh-CN"/>
        </w:rPr>
        <w:t>我</w:t>
      </w:r>
      <w:r>
        <w:rPr>
          <w:rFonts w:hint="default" w:ascii="Times New Roman" w:hAnsi="Times New Roman" w:eastAsia="仿宋_GB2312" w:cs="Times New Roman"/>
          <w:b w:val="0"/>
          <w:bCs w:val="0"/>
          <w:color w:val="auto"/>
          <w:sz w:val="32"/>
          <w:szCs w:val="32"/>
        </w:rPr>
        <w:t>局决定以网上挂牌方式公开出让下列一宗国有建设用地使用权。现将有关事项公告如下：</w:t>
      </w:r>
    </w:p>
    <w:p>
      <w:pPr>
        <w:keepNext w:val="0"/>
        <w:keepLines w:val="0"/>
        <w:pageBreakBefore w:val="0"/>
        <w:numPr>
          <w:ilvl w:val="0"/>
          <w:numId w:val="1"/>
        </w:numPr>
        <w:kinsoku/>
        <w:wordWrap/>
        <w:overflowPunct/>
        <w:topLinePunct w:val="0"/>
        <w:autoSpaceDE/>
        <w:autoSpaceDN/>
        <w:bidi w:val="0"/>
        <w:adjustRightInd/>
        <w:snapToGrid/>
        <w:spacing w:line="240" w:lineRule="auto"/>
        <w:ind w:firstLine="643" w:firstLineChars="200"/>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网上挂牌出让地块基本情况及规划指标要求（见附表）</w:t>
      </w:r>
    </w:p>
    <w:p>
      <w:pPr>
        <w:keepNext w:val="0"/>
        <w:keepLines w:val="0"/>
        <w:pageBreakBefore w:val="0"/>
        <w:numPr>
          <w:ilvl w:val="0"/>
          <w:numId w:val="1"/>
        </w:numPr>
        <w:kinsoku/>
        <w:wordWrap/>
        <w:overflowPunct/>
        <w:topLinePunct w:val="0"/>
        <w:autoSpaceDE/>
        <w:autoSpaceDN/>
        <w:bidi w:val="0"/>
        <w:adjustRightInd/>
        <w:snapToGrid/>
        <w:spacing w:line="240" w:lineRule="auto"/>
        <w:ind w:firstLine="643" w:firstLineChars="200"/>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挂牌起始价及加价幅度</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挂牌起始价为人民币</w:t>
      </w:r>
      <w:r>
        <w:rPr>
          <w:rFonts w:hint="default" w:ascii="Times New Roman" w:hAnsi="Times New Roman" w:eastAsia="仿宋_GB2312" w:cs="Times New Roman"/>
          <w:color w:val="auto"/>
          <w:kern w:val="2"/>
          <w:sz w:val="32"/>
          <w:szCs w:val="32"/>
          <w:lang w:val="en-US" w:eastAsia="zh-CN"/>
        </w:rPr>
        <w:t>3100</w:t>
      </w:r>
      <w:r>
        <w:rPr>
          <w:rFonts w:hint="default" w:ascii="Times New Roman" w:hAnsi="Times New Roman" w:eastAsia="仿宋_GB2312" w:cs="Times New Roman"/>
          <w:b w:val="0"/>
          <w:bCs w:val="0"/>
          <w:color w:val="auto"/>
          <w:sz w:val="32"/>
          <w:szCs w:val="32"/>
        </w:rPr>
        <w:t>万元</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每次报价加价幅度为人民币</w:t>
      </w:r>
      <w:r>
        <w:rPr>
          <w:rFonts w:hint="default" w:ascii="Times New Roman" w:hAnsi="Times New Roman" w:eastAsia="仿宋_GB2312" w:cs="Times New Roman"/>
          <w:color w:val="auto"/>
          <w:sz w:val="32"/>
          <w:szCs w:val="32"/>
          <w:highlight w:val="none"/>
          <w:lang w:val="en-US" w:eastAsia="zh-CN" w:bidi="ar-SA"/>
        </w:rPr>
        <w:t>100</w:t>
      </w:r>
      <w:r>
        <w:rPr>
          <w:rFonts w:hint="default" w:ascii="Times New Roman" w:hAnsi="Times New Roman" w:eastAsia="仿宋_GB2312" w:cs="Times New Roman"/>
          <w:b w:val="0"/>
          <w:bCs w:val="0"/>
          <w:color w:val="auto"/>
          <w:sz w:val="32"/>
          <w:szCs w:val="32"/>
        </w:rPr>
        <w:t>万元的整数倍。</w:t>
      </w:r>
    </w:p>
    <w:p>
      <w:pPr>
        <w:keepNext w:val="0"/>
        <w:keepLines w:val="0"/>
        <w:pageBreakBefore w:val="0"/>
        <w:numPr>
          <w:ilvl w:val="0"/>
          <w:numId w:val="1"/>
        </w:numPr>
        <w:kinsoku/>
        <w:wordWrap/>
        <w:overflowPunct/>
        <w:topLinePunct w:val="0"/>
        <w:autoSpaceDE/>
        <w:autoSpaceDN/>
        <w:bidi w:val="0"/>
        <w:adjustRightInd/>
        <w:snapToGrid/>
        <w:spacing w:line="240" w:lineRule="auto"/>
        <w:ind w:firstLine="643" w:firstLineChars="200"/>
        <w:textAlignment w:val="auto"/>
        <w:rPr>
          <w:rFonts w:hint="default" w:ascii="Times New Roman" w:hAnsi="Times New Roman" w:eastAsia="仿宋_GB2312" w:cs="Times New Roman"/>
          <w:b/>
          <w:bCs/>
          <w:color w:val="auto"/>
          <w:sz w:val="32"/>
          <w:szCs w:val="32"/>
          <w:lang w:eastAsia="zh-CN"/>
        </w:rPr>
      </w:pPr>
      <w:r>
        <w:rPr>
          <w:rFonts w:hint="default" w:ascii="Times New Roman" w:hAnsi="Times New Roman" w:eastAsia="仿宋_GB2312" w:cs="Times New Roman"/>
          <w:b/>
          <w:bCs/>
          <w:color w:val="auto"/>
          <w:sz w:val="32"/>
          <w:szCs w:val="32"/>
        </w:rPr>
        <w:t>时间安排</w:t>
      </w:r>
    </w:p>
    <w:p>
      <w:pPr>
        <w:pStyle w:val="3"/>
        <w:keepNext w:val="0"/>
        <w:keepLines w:val="0"/>
        <w:pageBreakBefore w:val="0"/>
        <w:kinsoku/>
        <w:wordWrap/>
        <w:overflowPunct/>
        <w:topLinePunct w:val="0"/>
        <w:autoSpaceDE/>
        <w:autoSpaceDN/>
        <w:bidi w:val="0"/>
        <w:adjustRightInd/>
        <w:snapToGrid/>
        <w:spacing w:line="240" w:lineRule="auto"/>
        <w:ind w:left="0" w:leftChars="0" w:firstLine="640" w:firstLineChars="200"/>
        <w:jc w:val="left"/>
        <w:textAlignment w:val="auto"/>
        <w:rPr>
          <w:rFonts w:hint="default" w:ascii="Times New Roman" w:hAnsi="Times New Roman" w:eastAsia="仿宋_GB2312" w:cs="Times New Roman"/>
          <w:b w:val="0"/>
          <w:bCs w:val="0"/>
          <w:color w:val="auto"/>
          <w:sz w:val="32"/>
          <w:szCs w:val="32"/>
          <w:u w:val="none"/>
          <w:lang w:eastAsia="zh-CN"/>
        </w:rPr>
      </w:pPr>
      <w:r>
        <w:rPr>
          <w:rFonts w:hint="default" w:ascii="Times New Roman" w:hAnsi="Times New Roman" w:eastAsia="仿宋_GB2312" w:cs="Times New Roman"/>
          <w:b w:val="0"/>
          <w:bCs w:val="0"/>
          <w:color w:val="auto"/>
          <w:sz w:val="32"/>
          <w:szCs w:val="32"/>
          <w:u w:val="none"/>
          <w:lang w:eastAsia="zh-CN"/>
        </w:rPr>
        <w:t>（</w:t>
      </w:r>
      <w:r>
        <w:rPr>
          <w:rFonts w:hint="default" w:ascii="Times New Roman" w:hAnsi="Times New Roman" w:eastAsia="仿宋_GB2312" w:cs="Times New Roman"/>
          <w:b w:val="0"/>
          <w:bCs w:val="0"/>
          <w:color w:val="auto"/>
          <w:sz w:val="32"/>
          <w:szCs w:val="32"/>
          <w:u w:val="none"/>
          <w:lang w:val="en-US" w:eastAsia="zh-CN"/>
        </w:rPr>
        <w:t>一</w:t>
      </w:r>
      <w:r>
        <w:rPr>
          <w:rFonts w:hint="default" w:ascii="Times New Roman" w:hAnsi="Times New Roman" w:eastAsia="仿宋_GB2312" w:cs="Times New Roman"/>
          <w:b w:val="0"/>
          <w:bCs w:val="0"/>
          <w:color w:val="auto"/>
          <w:sz w:val="32"/>
          <w:szCs w:val="32"/>
          <w:u w:val="none"/>
          <w:lang w:eastAsia="zh-CN"/>
        </w:rPr>
        <w:t>）</w:t>
      </w:r>
      <w:r>
        <w:rPr>
          <w:rFonts w:hint="default" w:ascii="Times New Roman" w:hAnsi="Times New Roman" w:eastAsia="仿宋_GB2312" w:cs="Times New Roman"/>
          <w:b w:val="0"/>
          <w:bCs w:val="0"/>
          <w:color w:val="auto"/>
          <w:sz w:val="32"/>
          <w:szCs w:val="32"/>
          <w:u w:val="none"/>
        </w:rPr>
        <w:t>公告时间：</w:t>
      </w:r>
      <w:r>
        <w:rPr>
          <w:rFonts w:hint="default" w:ascii="Times New Roman" w:hAnsi="Times New Roman" w:eastAsia="仿宋_GB2312" w:cs="Times New Roman"/>
          <w:b w:val="0"/>
          <w:bCs w:val="0"/>
          <w:color w:val="auto"/>
          <w:sz w:val="32"/>
          <w:szCs w:val="32"/>
          <w:u w:val="none"/>
          <w:lang w:val="en-US" w:eastAsia="zh-CN"/>
        </w:rPr>
        <w:t>2022</w:t>
      </w:r>
      <w:r>
        <w:rPr>
          <w:rFonts w:hint="default" w:ascii="Times New Roman" w:hAnsi="Times New Roman" w:eastAsia="仿宋_GB2312" w:cs="Times New Roman"/>
          <w:b w:val="0"/>
          <w:bCs w:val="0"/>
          <w:color w:val="auto"/>
          <w:sz w:val="32"/>
          <w:szCs w:val="32"/>
          <w:u w:val="none"/>
        </w:rPr>
        <w:t>年</w:t>
      </w:r>
      <w:r>
        <w:rPr>
          <w:rFonts w:hint="default" w:ascii="Times New Roman" w:hAnsi="Times New Roman" w:eastAsia="仿宋_GB2312" w:cs="Times New Roman"/>
          <w:b w:val="0"/>
          <w:bCs w:val="0"/>
          <w:color w:val="auto"/>
          <w:sz w:val="32"/>
          <w:szCs w:val="32"/>
          <w:u w:val="none"/>
          <w:lang w:val="en-US" w:eastAsia="zh-CN"/>
        </w:rPr>
        <w:t>09</w:t>
      </w:r>
      <w:r>
        <w:rPr>
          <w:rFonts w:hint="default" w:ascii="Times New Roman" w:hAnsi="Times New Roman" w:eastAsia="仿宋_GB2312" w:cs="Times New Roman"/>
          <w:b w:val="0"/>
          <w:bCs w:val="0"/>
          <w:color w:val="auto"/>
          <w:sz w:val="32"/>
          <w:szCs w:val="32"/>
          <w:u w:val="none"/>
        </w:rPr>
        <w:t>月</w:t>
      </w:r>
      <w:r>
        <w:rPr>
          <w:rFonts w:hint="default" w:ascii="Times New Roman" w:hAnsi="Times New Roman" w:eastAsia="仿宋_GB2312" w:cs="Times New Roman"/>
          <w:b w:val="0"/>
          <w:bCs w:val="0"/>
          <w:color w:val="auto"/>
          <w:sz w:val="32"/>
          <w:szCs w:val="32"/>
          <w:u w:val="none"/>
          <w:lang w:val="en-US" w:eastAsia="zh-CN"/>
        </w:rPr>
        <w:t>23</w:t>
      </w:r>
      <w:r>
        <w:rPr>
          <w:rFonts w:hint="default" w:ascii="Times New Roman" w:hAnsi="Times New Roman" w:eastAsia="仿宋_GB2312" w:cs="Times New Roman"/>
          <w:b w:val="0"/>
          <w:bCs w:val="0"/>
          <w:color w:val="auto"/>
          <w:sz w:val="32"/>
          <w:szCs w:val="32"/>
          <w:u w:val="none"/>
        </w:rPr>
        <w:t>日至</w:t>
      </w:r>
      <w:r>
        <w:rPr>
          <w:rFonts w:hint="default" w:ascii="Times New Roman" w:hAnsi="Times New Roman" w:eastAsia="仿宋_GB2312" w:cs="Times New Roman"/>
          <w:b w:val="0"/>
          <w:bCs w:val="0"/>
          <w:color w:val="auto"/>
          <w:sz w:val="32"/>
          <w:szCs w:val="32"/>
          <w:u w:val="none"/>
          <w:lang w:val="en-US" w:eastAsia="zh-CN"/>
        </w:rPr>
        <w:t>2022</w:t>
      </w:r>
      <w:r>
        <w:rPr>
          <w:rFonts w:hint="default" w:ascii="Times New Roman" w:hAnsi="Times New Roman" w:eastAsia="仿宋_GB2312" w:cs="Times New Roman"/>
          <w:b w:val="0"/>
          <w:bCs w:val="0"/>
          <w:color w:val="auto"/>
          <w:sz w:val="32"/>
          <w:szCs w:val="32"/>
          <w:u w:val="none"/>
        </w:rPr>
        <w:t>年</w:t>
      </w:r>
      <w:r>
        <w:rPr>
          <w:rFonts w:hint="default" w:ascii="Times New Roman" w:hAnsi="Times New Roman" w:eastAsia="仿宋_GB2312" w:cs="Times New Roman"/>
          <w:b w:val="0"/>
          <w:bCs w:val="0"/>
          <w:color w:val="auto"/>
          <w:sz w:val="32"/>
          <w:szCs w:val="32"/>
          <w:u w:val="none"/>
          <w:lang w:val="en-US" w:eastAsia="zh-CN"/>
        </w:rPr>
        <w:t>10</w:t>
      </w:r>
      <w:r>
        <w:rPr>
          <w:rFonts w:hint="default" w:ascii="Times New Roman" w:hAnsi="Times New Roman" w:eastAsia="仿宋_GB2312" w:cs="Times New Roman"/>
          <w:b w:val="0"/>
          <w:bCs w:val="0"/>
          <w:color w:val="auto"/>
          <w:sz w:val="32"/>
          <w:szCs w:val="32"/>
          <w:u w:val="none"/>
        </w:rPr>
        <w:t>月</w:t>
      </w:r>
      <w:r>
        <w:rPr>
          <w:rFonts w:hint="default" w:ascii="Times New Roman" w:hAnsi="Times New Roman" w:eastAsia="仿宋_GB2312" w:cs="Times New Roman"/>
          <w:b w:val="0"/>
          <w:bCs w:val="0"/>
          <w:color w:val="auto"/>
          <w:sz w:val="32"/>
          <w:szCs w:val="32"/>
          <w:u w:val="none"/>
          <w:lang w:val="en-US" w:eastAsia="zh-CN"/>
        </w:rPr>
        <w:t>12</w:t>
      </w:r>
      <w:r>
        <w:rPr>
          <w:rFonts w:hint="default" w:ascii="Times New Roman" w:hAnsi="Times New Roman" w:eastAsia="仿宋_GB2312" w:cs="Times New Roman"/>
          <w:b w:val="0"/>
          <w:bCs w:val="0"/>
          <w:color w:val="auto"/>
          <w:sz w:val="32"/>
          <w:szCs w:val="32"/>
          <w:u w:val="none"/>
        </w:rPr>
        <w:t>日</w:t>
      </w:r>
      <w:r>
        <w:rPr>
          <w:rFonts w:hint="default" w:ascii="Times New Roman" w:hAnsi="Times New Roman" w:eastAsia="仿宋_GB2312" w:cs="Times New Roman"/>
          <w:b w:val="0"/>
          <w:bCs w:val="0"/>
          <w:color w:val="auto"/>
          <w:sz w:val="32"/>
          <w:szCs w:val="32"/>
          <w:u w:val="none"/>
          <w:lang w:eastAsia="zh-CN"/>
        </w:rPr>
        <w:t>；</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b w:val="0"/>
          <w:bCs w:val="0"/>
          <w:color w:val="auto"/>
          <w:sz w:val="32"/>
          <w:szCs w:val="32"/>
          <w:u w:val="none"/>
          <w:lang w:eastAsia="zh-CN"/>
        </w:rPr>
      </w:pPr>
      <w:r>
        <w:rPr>
          <w:rFonts w:hint="default" w:ascii="Times New Roman" w:hAnsi="Times New Roman" w:eastAsia="仿宋_GB2312" w:cs="Times New Roman"/>
          <w:b w:val="0"/>
          <w:bCs w:val="0"/>
          <w:color w:val="auto"/>
          <w:sz w:val="32"/>
          <w:szCs w:val="32"/>
          <w:u w:val="none"/>
          <w:lang w:eastAsia="zh-CN"/>
        </w:rPr>
        <w:t>（</w:t>
      </w:r>
      <w:r>
        <w:rPr>
          <w:rFonts w:hint="default" w:ascii="Times New Roman" w:hAnsi="Times New Roman" w:eastAsia="仿宋_GB2312" w:cs="Times New Roman"/>
          <w:b w:val="0"/>
          <w:bCs w:val="0"/>
          <w:color w:val="auto"/>
          <w:sz w:val="32"/>
          <w:szCs w:val="32"/>
          <w:u w:val="none"/>
          <w:lang w:val="en-US" w:eastAsia="zh-CN"/>
        </w:rPr>
        <w:t>二</w:t>
      </w:r>
      <w:r>
        <w:rPr>
          <w:rFonts w:hint="default" w:ascii="Times New Roman" w:hAnsi="Times New Roman" w:eastAsia="仿宋_GB2312" w:cs="Times New Roman"/>
          <w:b w:val="0"/>
          <w:bCs w:val="0"/>
          <w:color w:val="auto"/>
          <w:sz w:val="32"/>
          <w:szCs w:val="32"/>
          <w:u w:val="none"/>
          <w:lang w:eastAsia="zh-CN"/>
        </w:rPr>
        <w:t>）</w:t>
      </w:r>
      <w:r>
        <w:rPr>
          <w:rFonts w:hint="default" w:ascii="Times New Roman" w:hAnsi="Times New Roman" w:eastAsia="仿宋_GB2312" w:cs="Times New Roman"/>
          <w:b w:val="0"/>
          <w:bCs w:val="0"/>
          <w:color w:val="auto"/>
          <w:sz w:val="32"/>
          <w:szCs w:val="32"/>
          <w:u w:val="none"/>
        </w:rPr>
        <w:t>网上挂牌竞买时间：</w:t>
      </w:r>
      <w:r>
        <w:rPr>
          <w:rFonts w:hint="default" w:ascii="Times New Roman" w:hAnsi="Times New Roman" w:eastAsia="仿宋_GB2312" w:cs="Times New Roman"/>
          <w:b w:val="0"/>
          <w:bCs w:val="0"/>
          <w:color w:val="auto"/>
          <w:sz w:val="32"/>
          <w:szCs w:val="32"/>
          <w:u w:val="none"/>
          <w:lang w:val="en-US" w:eastAsia="zh-CN"/>
        </w:rPr>
        <w:t>2022</w:t>
      </w:r>
      <w:r>
        <w:rPr>
          <w:rFonts w:hint="default" w:ascii="Times New Roman" w:hAnsi="Times New Roman" w:eastAsia="仿宋_GB2312" w:cs="Times New Roman"/>
          <w:b w:val="0"/>
          <w:bCs w:val="0"/>
          <w:color w:val="auto"/>
          <w:sz w:val="32"/>
          <w:szCs w:val="32"/>
          <w:u w:val="none"/>
        </w:rPr>
        <w:t>年</w:t>
      </w:r>
      <w:r>
        <w:rPr>
          <w:rFonts w:hint="default" w:ascii="Times New Roman" w:hAnsi="Times New Roman" w:eastAsia="仿宋_GB2312" w:cs="Times New Roman"/>
          <w:b w:val="0"/>
          <w:bCs w:val="0"/>
          <w:color w:val="auto"/>
          <w:sz w:val="32"/>
          <w:szCs w:val="32"/>
          <w:u w:val="none"/>
          <w:lang w:val="en-US" w:eastAsia="zh-CN"/>
        </w:rPr>
        <w:t>10</w:t>
      </w:r>
      <w:r>
        <w:rPr>
          <w:rFonts w:hint="default" w:ascii="Times New Roman" w:hAnsi="Times New Roman" w:eastAsia="仿宋_GB2312" w:cs="Times New Roman"/>
          <w:b w:val="0"/>
          <w:bCs w:val="0"/>
          <w:color w:val="auto"/>
          <w:sz w:val="32"/>
          <w:szCs w:val="32"/>
          <w:u w:val="none"/>
        </w:rPr>
        <w:t>月</w:t>
      </w:r>
      <w:r>
        <w:rPr>
          <w:rFonts w:hint="default" w:ascii="Times New Roman" w:hAnsi="Times New Roman" w:eastAsia="仿宋_GB2312" w:cs="Times New Roman"/>
          <w:b w:val="0"/>
          <w:bCs w:val="0"/>
          <w:color w:val="auto"/>
          <w:sz w:val="32"/>
          <w:szCs w:val="32"/>
          <w:u w:val="none"/>
          <w:lang w:val="en-US" w:eastAsia="zh-CN"/>
        </w:rPr>
        <w:t>13</w:t>
      </w:r>
      <w:r>
        <w:rPr>
          <w:rFonts w:hint="default" w:ascii="Times New Roman" w:hAnsi="Times New Roman" w:eastAsia="仿宋_GB2312" w:cs="Times New Roman"/>
          <w:b w:val="0"/>
          <w:bCs w:val="0"/>
          <w:color w:val="auto"/>
          <w:sz w:val="32"/>
          <w:szCs w:val="32"/>
          <w:u w:val="none"/>
        </w:rPr>
        <w:t>日</w:t>
      </w:r>
      <w:r>
        <w:rPr>
          <w:rFonts w:hint="default" w:ascii="Times New Roman" w:hAnsi="Times New Roman" w:eastAsia="仿宋_GB2312" w:cs="Times New Roman"/>
          <w:b w:val="0"/>
          <w:bCs w:val="0"/>
          <w:color w:val="auto"/>
          <w:sz w:val="32"/>
          <w:szCs w:val="32"/>
          <w:u w:val="none"/>
          <w:lang w:val="en-US" w:eastAsia="zh-CN"/>
        </w:rPr>
        <w:t>9</w:t>
      </w:r>
      <w:r>
        <w:rPr>
          <w:rFonts w:hint="default" w:ascii="Times New Roman" w:hAnsi="Times New Roman" w:eastAsia="仿宋_GB2312" w:cs="Times New Roman"/>
          <w:b w:val="0"/>
          <w:bCs w:val="0"/>
          <w:color w:val="auto"/>
          <w:sz w:val="32"/>
          <w:szCs w:val="32"/>
          <w:u w:val="none"/>
        </w:rPr>
        <w:t>时至</w:t>
      </w:r>
      <w:r>
        <w:rPr>
          <w:rFonts w:hint="default" w:ascii="Times New Roman" w:hAnsi="Times New Roman" w:eastAsia="仿宋_GB2312" w:cs="Times New Roman"/>
          <w:b w:val="0"/>
          <w:bCs w:val="0"/>
          <w:color w:val="auto"/>
          <w:sz w:val="32"/>
          <w:szCs w:val="32"/>
          <w:u w:val="none"/>
          <w:lang w:val="en-US" w:eastAsia="zh-CN"/>
        </w:rPr>
        <w:t>2022 年10</w:t>
      </w:r>
      <w:r>
        <w:rPr>
          <w:rFonts w:hint="default" w:ascii="Times New Roman" w:hAnsi="Times New Roman" w:eastAsia="仿宋_GB2312" w:cs="Times New Roman"/>
          <w:b w:val="0"/>
          <w:bCs w:val="0"/>
          <w:color w:val="auto"/>
          <w:sz w:val="32"/>
          <w:szCs w:val="32"/>
          <w:u w:val="none"/>
        </w:rPr>
        <w:t>月</w:t>
      </w:r>
      <w:r>
        <w:rPr>
          <w:rFonts w:hint="default" w:ascii="Times New Roman" w:hAnsi="Times New Roman" w:eastAsia="仿宋_GB2312" w:cs="Times New Roman"/>
          <w:b w:val="0"/>
          <w:bCs w:val="0"/>
          <w:color w:val="auto"/>
          <w:sz w:val="32"/>
          <w:szCs w:val="32"/>
          <w:u w:val="none"/>
          <w:lang w:val="en-US" w:eastAsia="zh-CN"/>
        </w:rPr>
        <w:t>27</w:t>
      </w:r>
      <w:r>
        <w:rPr>
          <w:rFonts w:hint="default" w:ascii="Times New Roman" w:hAnsi="Times New Roman" w:eastAsia="仿宋_GB2312" w:cs="Times New Roman"/>
          <w:b w:val="0"/>
          <w:bCs w:val="0"/>
          <w:color w:val="auto"/>
          <w:sz w:val="32"/>
          <w:szCs w:val="32"/>
          <w:u w:val="none"/>
        </w:rPr>
        <w:t>日</w:t>
      </w:r>
      <w:r>
        <w:rPr>
          <w:rFonts w:hint="default" w:ascii="Times New Roman" w:hAnsi="Times New Roman" w:eastAsia="仿宋_GB2312" w:cs="Times New Roman"/>
          <w:b w:val="0"/>
          <w:bCs w:val="0"/>
          <w:color w:val="auto"/>
          <w:sz w:val="32"/>
          <w:szCs w:val="32"/>
          <w:u w:val="none"/>
          <w:lang w:val="en-US" w:eastAsia="zh-CN"/>
        </w:rPr>
        <w:t>10</w:t>
      </w:r>
      <w:r>
        <w:rPr>
          <w:rFonts w:hint="default" w:ascii="Times New Roman" w:hAnsi="Times New Roman" w:eastAsia="仿宋_GB2312" w:cs="Times New Roman"/>
          <w:b w:val="0"/>
          <w:bCs w:val="0"/>
          <w:color w:val="auto"/>
          <w:sz w:val="32"/>
          <w:szCs w:val="32"/>
          <w:u w:val="none"/>
        </w:rPr>
        <w:t>时</w:t>
      </w:r>
      <w:r>
        <w:rPr>
          <w:rFonts w:hint="default" w:ascii="Times New Roman" w:hAnsi="Times New Roman" w:eastAsia="仿宋_GB2312" w:cs="Times New Roman"/>
          <w:b w:val="0"/>
          <w:bCs w:val="0"/>
          <w:color w:val="auto"/>
          <w:sz w:val="32"/>
          <w:szCs w:val="32"/>
          <w:u w:val="none"/>
          <w:lang w:eastAsia="zh-CN"/>
        </w:rPr>
        <w:t>；</w:t>
      </w:r>
    </w:p>
    <w:p>
      <w:pPr>
        <w:keepNext w:val="0"/>
        <w:keepLines w:val="0"/>
        <w:pageBreakBefore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Times New Roman" w:hAnsi="Times New Roman" w:eastAsia="仿宋_GB2312" w:cs="Times New Roman"/>
          <w:b w:val="0"/>
          <w:bCs w:val="0"/>
          <w:color w:val="auto"/>
          <w:sz w:val="32"/>
          <w:szCs w:val="32"/>
          <w:u w:val="none"/>
        </w:rPr>
      </w:pPr>
      <w:r>
        <w:rPr>
          <w:rFonts w:hint="default" w:ascii="Times New Roman" w:hAnsi="Times New Roman" w:eastAsia="仿宋_GB2312" w:cs="Times New Roman"/>
          <w:b w:val="0"/>
          <w:bCs w:val="0"/>
          <w:color w:val="auto"/>
          <w:sz w:val="32"/>
          <w:szCs w:val="32"/>
          <w:u w:val="none"/>
          <w:lang w:eastAsia="zh-CN"/>
        </w:rPr>
        <w:t>（</w:t>
      </w:r>
      <w:r>
        <w:rPr>
          <w:rFonts w:hint="default" w:ascii="Times New Roman" w:hAnsi="Times New Roman" w:eastAsia="仿宋_GB2312" w:cs="Times New Roman"/>
          <w:b w:val="0"/>
          <w:bCs w:val="0"/>
          <w:color w:val="auto"/>
          <w:sz w:val="32"/>
          <w:szCs w:val="32"/>
          <w:u w:val="none"/>
          <w:lang w:val="en-US" w:eastAsia="zh-CN"/>
        </w:rPr>
        <w:t>三</w:t>
      </w:r>
      <w:r>
        <w:rPr>
          <w:rFonts w:hint="default" w:ascii="Times New Roman" w:hAnsi="Times New Roman" w:eastAsia="仿宋_GB2312" w:cs="Times New Roman"/>
          <w:b w:val="0"/>
          <w:bCs w:val="0"/>
          <w:color w:val="auto"/>
          <w:sz w:val="32"/>
          <w:szCs w:val="32"/>
          <w:u w:val="none"/>
          <w:lang w:eastAsia="zh-CN"/>
        </w:rPr>
        <w:t>）</w:t>
      </w:r>
      <w:r>
        <w:rPr>
          <w:rFonts w:hint="default" w:ascii="Times New Roman" w:hAnsi="Times New Roman" w:eastAsia="仿宋_GB2312" w:cs="Times New Roman"/>
          <w:b w:val="0"/>
          <w:bCs w:val="0"/>
          <w:color w:val="auto"/>
          <w:sz w:val="32"/>
          <w:szCs w:val="32"/>
          <w:u w:val="none"/>
        </w:rPr>
        <w:t>竞买保证金到账截止时间为：</w:t>
      </w:r>
      <w:r>
        <w:rPr>
          <w:rFonts w:hint="default" w:ascii="Times New Roman" w:hAnsi="Times New Roman" w:eastAsia="仿宋_GB2312" w:cs="Times New Roman"/>
          <w:b w:val="0"/>
          <w:bCs w:val="0"/>
          <w:color w:val="auto"/>
          <w:sz w:val="32"/>
          <w:szCs w:val="32"/>
          <w:u w:val="none"/>
          <w:lang w:val="en-US" w:eastAsia="zh-CN"/>
        </w:rPr>
        <w:t>2022</w:t>
      </w:r>
      <w:r>
        <w:rPr>
          <w:rFonts w:hint="default" w:ascii="Times New Roman" w:hAnsi="Times New Roman" w:eastAsia="仿宋_GB2312" w:cs="Times New Roman"/>
          <w:b w:val="0"/>
          <w:bCs w:val="0"/>
          <w:color w:val="auto"/>
          <w:sz w:val="32"/>
          <w:szCs w:val="32"/>
          <w:u w:val="none"/>
        </w:rPr>
        <w:t>年</w:t>
      </w:r>
      <w:r>
        <w:rPr>
          <w:rFonts w:hint="default" w:ascii="Times New Roman" w:hAnsi="Times New Roman" w:eastAsia="仿宋_GB2312" w:cs="Times New Roman"/>
          <w:b w:val="0"/>
          <w:bCs w:val="0"/>
          <w:color w:val="auto"/>
          <w:sz w:val="32"/>
          <w:szCs w:val="32"/>
          <w:u w:val="none"/>
          <w:lang w:val="en-US" w:eastAsia="zh-CN"/>
        </w:rPr>
        <w:t>10</w:t>
      </w:r>
      <w:r>
        <w:rPr>
          <w:rFonts w:hint="default" w:ascii="Times New Roman" w:hAnsi="Times New Roman" w:eastAsia="仿宋_GB2312" w:cs="Times New Roman"/>
          <w:b w:val="0"/>
          <w:bCs w:val="0"/>
          <w:color w:val="auto"/>
          <w:sz w:val="32"/>
          <w:szCs w:val="32"/>
          <w:u w:val="none"/>
        </w:rPr>
        <w:t>月</w:t>
      </w:r>
      <w:r>
        <w:rPr>
          <w:rFonts w:hint="default" w:ascii="Times New Roman" w:hAnsi="Times New Roman" w:eastAsia="仿宋_GB2312" w:cs="Times New Roman"/>
          <w:b w:val="0"/>
          <w:bCs w:val="0"/>
          <w:color w:val="auto"/>
          <w:sz w:val="32"/>
          <w:szCs w:val="32"/>
          <w:u w:val="none"/>
          <w:lang w:val="en-US" w:eastAsia="zh-CN"/>
        </w:rPr>
        <w:t xml:space="preserve">                          27</w:t>
      </w:r>
      <w:r>
        <w:rPr>
          <w:rFonts w:hint="default" w:ascii="Times New Roman" w:hAnsi="Times New Roman" w:eastAsia="仿宋_GB2312" w:cs="Times New Roman"/>
          <w:b w:val="0"/>
          <w:bCs w:val="0"/>
          <w:color w:val="auto"/>
          <w:sz w:val="32"/>
          <w:szCs w:val="32"/>
          <w:u w:val="none"/>
        </w:rPr>
        <w:t>日</w:t>
      </w:r>
      <w:r>
        <w:rPr>
          <w:rFonts w:hint="default" w:ascii="Times New Roman" w:hAnsi="Times New Roman" w:eastAsia="仿宋_GB2312" w:cs="Times New Roman"/>
          <w:b w:val="0"/>
          <w:bCs w:val="0"/>
          <w:color w:val="auto"/>
          <w:sz w:val="32"/>
          <w:szCs w:val="32"/>
          <w:u w:val="none"/>
          <w:lang w:val="en-US" w:eastAsia="zh-CN"/>
        </w:rPr>
        <w:t>9</w:t>
      </w:r>
      <w:r>
        <w:rPr>
          <w:rFonts w:hint="default" w:ascii="Times New Roman" w:hAnsi="Times New Roman" w:eastAsia="仿宋_GB2312" w:cs="Times New Roman"/>
          <w:b w:val="0"/>
          <w:bCs w:val="0"/>
          <w:color w:val="auto"/>
          <w:sz w:val="32"/>
          <w:szCs w:val="32"/>
          <w:u w:val="none"/>
        </w:rPr>
        <w:t>时。</w:t>
      </w:r>
    </w:p>
    <w:p>
      <w:pPr>
        <w:keepNext w:val="0"/>
        <w:keepLines w:val="0"/>
        <w:pageBreakBefore w:val="0"/>
        <w:numPr>
          <w:ilvl w:val="0"/>
          <w:numId w:val="0"/>
        </w:numPr>
        <w:kinsoku/>
        <w:wordWrap/>
        <w:overflowPunct/>
        <w:topLinePunct w:val="0"/>
        <w:autoSpaceDE/>
        <w:autoSpaceDN/>
        <w:bidi w:val="0"/>
        <w:adjustRightInd/>
        <w:snapToGrid/>
        <w:spacing w:line="240" w:lineRule="auto"/>
        <w:ind w:firstLine="643" w:firstLineChars="200"/>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四、竞买资格及要求</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中华人民共和国境内外的法人</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lang w:val="en-US" w:eastAsia="zh-CN"/>
        </w:rPr>
        <w:t>自然人</w:t>
      </w:r>
      <w:r>
        <w:rPr>
          <w:rFonts w:hint="default" w:ascii="Times New Roman" w:hAnsi="Times New Roman" w:eastAsia="仿宋_GB2312" w:cs="Times New Roman"/>
          <w:b w:val="0"/>
          <w:bCs w:val="0"/>
          <w:color w:val="auto"/>
          <w:sz w:val="32"/>
          <w:szCs w:val="32"/>
        </w:rPr>
        <w:t>和其他</w:t>
      </w:r>
      <w:r>
        <w:rPr>
          <w:rFonts w:hint="default" w:ascii="Times New Roman" w:hAnsi="Times New Roman" w:eastAsia="仿宋_GB2312" w:cs="Times New Roman"/>
          <w:b w:val="0"/>
          <w:bCs w:val="0"/>
          <w:color w:val="auto"/>
          <w:sz w:val="32"/>
          <w:szCs w:val="32"/>
          <w:lang w:val="en-US" w:eastAsia="zh-CN"/>
        </w:rPr>
        <w:t>经济</w:t>
      </w:r>
      <w:r>
        <w:rPr>
          <w:rFonts w:hint="default" w:ascii="Times New Roman" w:hAnsi="Times New Roman" w:eastAsia="仿宋_GB2312" w:cs="Times New Roman"/>
          <w:b w:val="0"/>
          <w:bCs w:val="0"/>
          <w:color w:val="auto"/>
          <w:sz w:val="32"/>
          <w:szCs w:val="32"/>
        </w:rPr>
        <w:t>组织</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lang w:val="en-US" w:eastAsia="zh-CN"/>
        </w:rPr>
        <w:t>除法律法规另有规定外</w:t>
      </w:r>
      <w:r>
        <w:rPr>
          <w:rFonts w:hint="default" w:ascii="Times New Roman" w:hAnsi="Times New Roman" w:eastAsia="仿宋_GB2312" w:cs="Times New Roman"/>
          <w:b w:val="0"/>
          <w:bCs w:val="0"/>
          <w:color w:val="auto"/>
          <w:sz w:val="32"/>
          <w:szCs w:val="32"/>
          <w:lang w:eastAsia="zh-CN"/>
        </w:rPr>
        <w:t>）</w:t>
      </w:r>
      <w:r>
        <w:rPr>
          <w:rFonts w:hint="eastAsia" w:eastAsia="仿宋_GB2312" w:cs="Times New Roman"/>
          <w:b w:val="0"/>
          <w:bCs w:val="0"/>
          <w:color w:val="auto"/>
          <w:sz w:val="32"/>
          <w:szCs w:val="32"/>
          <w:lang w:eastAsia="zh-CN"/>
        </w:rPr>
        <w:t>，符合竞买资格的，</w:t>
      </w:r>
      <w:r>
        <w:rPr>
          <w:rFonts w:hint="default" w:ascii="Times New Roman" w:hAnsi="Times New Roman" w:eastAsia="仿宋_GB2312" w:cs="Times New Roman"/>
          <w:b w:val="0"/>
          <w:bCs w:val="0"/>
          <w:color w:val="auto"/>
          <w:sz w:val="32"/>
          <w:szCs w:val="32"/>
        </w:rPr>
        <w:t>均可通过网上挂牌交易系统，申请参加电子挂牌交易活动，法律、法规另有规定的从其规定。</w:t>
      </w:r>
    </w:p>
    <w:p>
      <w:pPr>
        <w:keepNext w:val="0"/>
        <w:keepLines w:val="0"/>
        <w:pageBreakBefore w:val="0"/>
        <w:numPr>
          <w:ilvl w:val="0"/>
          <w:numId w:val="2"/>
        </w:numPr>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交纳足额竞买保证金；</w:t>
      </w:r>
    </w:p>
    <w:p>
      <w:pPr>
        <w:keepNext w:val="0"/>
        <w:keepLines w:val="0"/>
        <w:pageBreakBefore w:val="0"/>
        <w:numPr>
          <w:ilvl w:val="0"/>
          <w:numId w:val="2"/>
        </w:numPr>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存在下列行为之一的企业及其控股股东，不得参与竞买上述地块：</w:t>
      </w:r>
    </w:p>
    <w:p>
      <w:pPr>
        <w:keepNext w:val="0"/>
        <w:keepLines w:val="0"/>
        <w:pageBreakBefore w:val="0"/>
        <w:kinsoku/>
        <w:wordWrap/>
        <w:overflowPunct/>
        <w:topLinePunct w:val="0"/>
        <w:autoSpaceDE/>
        <w:autoSpaceDN/>
        <w:bidi w:val="0"/>
        <w:adjustRightInd/>
        <w:snapToGrid/>
        <w:spacing w:line="240" w:lineRule="auto"/>
        <w:ind w:firstLine="627" w:firstLineChars="196"/>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1、存在伪造公文骗取用地和非法倒卖土地等犯罪行为的；</w:t>
      </w:r>
    </w:p>
    <w:p>
      <w:pPr>
        <w:keepNext w:val="0"/>
        <w:keepLines w:val="0"/>
        <w:pageBreakBefore w:val="0"/>
        <w:kinsoku/>
        <w:wordWrap/>
        <w:overflowPunct/>
        <w:topLinePunct w:val="0"/>
        <w:autoSpaceDE/>
        <w:autoSpaceDN/>
        <w:bidi w:val="0"/>
        <w:adjustRightInd/>
        <w:snapToGrid/>
        <w:spacing w:line="240" w:lineRule="auto"/>
        <w:ind w:firstLine="627" w:firstLineChars="196"/>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2、存在非法转让土地使用权等违法行为的；</w:t>
      </w:r>
    </w:p>
    <w:p>
      <w:pPr>
        <w:keepNext w:val="0"/>
        <w:keepLines w:val="0"/>
        <w:pageBreakBefore w:val="0"/>
        <w:kinsoku/>
        <w:wordWrap/>
        <w:overflowPunct/>
        <w:topLinePunct w:val="0"/>
        <w:autoSpaceDE/>
        <w:autoSpaceDN/>
        <w:bidi w:val="0"/>
        <w:adjustRightInd/>
        <w:snapToGrid/>
        <w:spacing w:line="240" w:lineRule="auto"/>
        <w:ind w:firstLine="627" w:firstLineChars="196"/>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3、因企业原因造成土地闲置一年以上且至报名日止未处罚完结的；</w:t>
      </w:r>
    </w:p>
    <w:p>
      <w:pPr>
        <w:keepNext w:val="0"/>
        <w:keepLines w:val="0"/>
        <w:pageBreakBefore w:val="0"/>
        <w:kinsoku/>
        <w:wordWrap/>
        <w:overflowPunct/>
        <w:topLinePunct w:val="0"/>
        <w:autoSpaceDE/>
        <w:autoSpaceDN/>
        <w:bidi w:val="0"/>
        <w:adjustRightInd/>
        <w:snapToGrid/>
        <w:spacing w:line="240" w:lineRule="auto"/>
        <w:ind w:firstLine="627" w:firstLineChars="196"/>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4、开发建设企业有违背出让合同约定条件开发利用土地情形且至报名日止未处罚完结的；</w:t>
      </w:r>
    </w:p>
    <w:p>
      <w:pPr>
        <w:keepNext w:val="0"/>
        <w:keepLines w:val="0"/>
        <w:pageBreakBefore w:val="0"/>
        <w:kinsoku/>
        <w:wordWrap/>
        <w:overflowPunct/>
        <w:topLinePunct w:val="0"/>
        <w:autoSpaceDE/>
        <w:autoSpaceDN/>
        <w:bidi w:val="0"/>
        <w:adjustRightInd/>
        <w:snapToGrid/>
        <w:spacing w:line="240" w:lineRule="auto"/>
        <w:ind w:firstLine="627" w:firstLineChars="196"/>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5、至报名日止仍拖欠政府地价款的;</w:t>
      </w:r>
    </w:p>
    <w:p>
      <w:pPr>
        <w:keepNext w:val="0"/>
        <w:keepLines w:val="0"/>
        <w:pageBreakBefore w:val="0"/>
        <w:kinsoku/>
        <w:wordWrap/>
        <w:overflowPunct/>
        <w:topLinePunct w:val="0"/>
        <w:autoSpaceDE/>
        <w:autoSpaceDN/>
        <w:bidi w:val="0"/>
        <w:adjustRightInd/>
        <w:snapToGrid/>
        <w:spacing w:line="240" w:lineRule="auto"/>
        <w:ind w:firstLine="627" w:firstLineChars="196"/>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6、被列入问题楼盘开发企业黑名单的;</w:t>
      </w:r>
    </w:p>
    <w:p>
      <w:pPr>
        <w:keepNext w:val="0"/>
        <w:keepLines w:val="0"/>
        <w:pageBreakBefore w:val="0"/>
        <w:kinsoku/>
        <w:wordWrap/>
        <w:overflowPunct/>
        <w:topLinePunct w:val="0"/>
        <w:autoSpaceDE/>
        <w:autoSpaceDN/>
        <w:bidi w:val="0"/>
        <w:adjustRightInd/>
        <w:snapToGrid/>
        <w:spacing w:line="240" w:lineRule="auto"/>
        <w:ind w:firstLine="627" w:firstLineChars="196"/>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7、存在其它被禁止竞买土地行为的。</w:t>
      </w:r>
    </w:p>
    <w:p>
      <w:pPr>
        <w:keepNext w:val="0"/>
        <w:keepLines w:val="0"/>
        <w:pageBreakBefore w:val="0"/>
        <w:kinsoku/>
        <w:wordWrap/>
        <w:overflowPunct/>
        <w:topLinePunct w:val="0"/>
        <w:autoSpaceDE/>
        <w:autoSpaceDN/>
        <w:bidi w:val="0"/>
        <w:adjustRightInd/>
        <w:snapToGrid/>
        <w:spacing w:line="240" w:lineRule="auto"/>
        <w:ind w:firstLine="630" w:firstLineChars="196"/>
        <w:textAlignment w:val="auto"/>
        <w:rPr>
          <w:rFonts w:hint="default" w:ascii="Times New Roman" w:hAnsi="Times New Roman" w:eastAsia="仿宋_GB2312" w:cs="Times New Roman"/>
          <w:b/>
          <w:bCs/>
          <w:color w:val="auto"/>
          <w:kern w:val="2"/>
          <w:sz w:val="32"/>
          <w:szCs w:val="32"/>
          <w:lang w:val="en-US" w:eastAsia="zh-CN" w:bidi="ar-SA"/>
        </w:rPr>
      </w:pPr>
      <w:r>
        <w:rPr>
          <w:rFonts w:hint="default" w:ascii="Times New Roman" w:hAnsi="Times New Roman" w:eastAsia="仿宋_GB2312" w:cs="Times New Roman"/>
          <w:b/>
          <w:bCs/>
          <w:color w:val="auto"/>
          <w:kern w:val="2"/>
          <w:sz w:val="32"/>
          <w:szCs w:val="32"/>
          <w:lang w:val="en-US" w:eastAsia="zh-CN" w:bidi="ar-SA"/>
        </w:rPr>
        <w:t>五、竞买保证金</w:t>
      </w:r>
    </w:p>
    <w:p>
      <w:pPr>
        <w:keepNext w:val="0"/>
        <w:keepLines w:val="0"/>
        <w:pageBreakBefore w:val="0"/>
        <w:kinsoku/>
        <w:wordWrap/>
        <w:overflowPunct/>
        <w:topLinePunct w:val="0"/>
        <w:autoSpaceDE/>
        <w:autoSpaceDN/>
        <w:bidi w:val="0"/>
        <w:adjustRightInd/>
        <w:snapToGrid/>
        <w:spacing w:line="240" w:lineRule="auto"/>
        <w:ind w:firstLine="627" w:firstLineChars="196"/>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（一）该宗地竞买保证金为人民币</w:t>
      </w:r>
      <w:r>
        <w:rPr>
          <w:rFonts w:hint="default" w:ascii="Times New Roman" w:hAnsi="Times New Roman" w:eastAsia="仿宋_GB2312" w:cs="Times New Roman"/>
          <w:color w:val="auto"/>
          <w:sz w:val="32"/>
          <w:szCs w:val="32"/>
          <w:highlight w:val="none"/>
          <w:lang w:val="en-US" w:eastAsia="zh-CN" w:bidi="ar-SA"/>
        </w:rPr>
        <w:t>930</w:t>
      </w:r>
      <w:r>
        <w:rPr>
          <w:rFonts w:hint="default" w:ascii="Times New Roman" w:hAnsi="Times New Roman" w:eastAsia="仿宋_GB2312" w:cs="Times New Roman"/>
          <w:color w:val="auto"/>
          <w:kern w:val="2"/>
          <w:sz w:val="32"/>
          <w:szCs w:val="32"/>
          <w:lang w:val="en-US" w:eastAsia="zh-CN" w:bidi="ar-SA"/>
        </w:rPr>
        <w:t>万元。</w:t>
      </w:r>
    </w:p>
    <w:p>
      <w:pPr>
        <w:keepNext w:val="0"/>
        <w:keepLines w:val="0"/>
        <w:pageBreakBefore w:val="0"/>
        <w:kinsoku/>
        <w:wordWrap/>
        <w:overflowPunct/>
        <w:topLinePunct w:val="0"/>
        <w:autoSpaceDE/>
        <w:autoSpaceDN/>
        <w:bidi w:val="0"/>
        <w:adjustRightInd/>
        <w:snapToGrid/>
        <w:spacing w:line="240" w:lineRule="auto"/>
        <w:ind w:firstLine="627" w:firstLineChars="196"/>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该宗地竞买保证金亦可用外币（暂限于美元、港币）交纳。如以外币交纳竞买保证金的，须交纳美元</w:t>
      </w:r>
      <w:r>
        <w:rPr>
          <w:rFonts w:hint="default" w:ascii="Times New Roman" w:hAnsi="Times New Roman" w:eastAsia="仿宋_GB2312" w:cs="Times New Roman"/>
          <w:color w:val="auto"/>
          <w:sz w:val="32"/>
          <w:szCs w:val="32"/>
          <w:highlight w:val="none"/>
          <w:lang w:val="en-US" w:eastAsia="zh-CN" w:bidi="ar-SA"/>
        </w:rPr>
        <w:t>135</w:t>
      </w:r>
      <w:r>
        <w:rPr>
          <w:rFonts w:hint="default" w:ascii="Times New Roman" w:hAnsi="Times New Roman" w:eastAsia="仿宋_GB2312" w:cs="Times New Roman"/>
          <w:color w:val="auto"/>
          <w:kern w:val="2"/>
          <w:sz w:val="32"/>
          <w:szCs w:val="32"/>
          <w:lang w:val="en-US" w:eastAsia="zh-CN" w:bidi="ar-SA"/>
        </w:rPr>
        <w:t>万元或港币</w:t>
      </w:r>
      <w:r>
        <w:rPr>
          <w:rFonts w:hint="default" w:ascii="Times New Roman" w:hAnsi="Times New Roman" w:eastAsia="仿宋_GB2312" w:cs="Times New Roman"/>
          <w:color w:val="auto"/>
          <w:sz w:val="32"/>
          <w:szCs w:val="32"/>
          <w:highlight w:val="none"/>
          <w:lang w:val="en-US" w:eastAsia="zh-CN" w:bidi="ar-SA"/>
        </w:rPr>
        <w:t>1057</w:t>
      </w:r>
      <w:r>
        <w:rPr>
          <w:rFonts w:hint="default" w:ascii="Times New Roman" w:hAnsi="Times New Roman" w:eastAsia="仿宋_GB2312" w:cs="Times New Roman"/>
          <w:color w:val="auto"/>
          <w:kern w:val="2"/>
          <w:sz w:val="32"/>
          <w:szCs w:val="32"/>
          <w:lang w:val="en-US" w:eastAsia="zh-CN" w:bidi="ar-SA"/>
        </w:rPr>
        <w:t>万元。</w:t>
      </w:r>
    </w:p>
    <w:p>
      <w:pPr>
        <w:keepNext w:val="0"/>
        <w:keepLines w:val="0"/>
        <w:pageBreakBefore w:val="0"/>
        <w:kinsoku/>
        <w:wordWrap/>
        <w:overflowPunct/>
        <w:topLinePunct w:val="0"/>
        <w:autoSpaceDE/>
        <w:autoSpaceDN/>
        <w:bidi w:val="0"/>
        <w:adjustRightInd/>
        <w:snapToGrid/>
        <w:spacing w:line="240" w:lineRule="auto"/>
        <w:ind w:firstLine="627" w:firstLineChars="196"/>
        <w:textAlignment w:val="auto"/>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申请人应当在网上挂牌出让竞买保证金到账截止时间前登录惠州市公共资源交易</w:t>
      </w:r>
      <w:r>
        <w:rPr>
          <w:rFonts w:hint="default" w:ascii="Times New Roman" w:hAnsi="Times New Roman" w:eastAsia="仿宋_GB2312" w:cs="Times New Roman"/>
          <w:b w:val="0"/>
          <w:bCs w:val="0"/>
          <w:color w:val="auto"/>
          <w:kern w:val="2"/>
          <w:sz w:val="32"/>
          <w:szCs w:val="32"/>
          <w:lang w:val="en-US" w:eastAsia="zh-CN" w:bidi="ar-SA"/>
        </w:rPr>
        <w:t>中心（以下简称“交易中心”）土地与矿业网上挂牌交易系统（以下简称“网上挂牌交易系统”）获取竞买保证金支付账号。</w:t>
      </w:r>
    </w:p>
    <w:p>
      <w:pPr>
        <w:keepNext w:val="0"/>
        <w:keepLines w:val="0"/>
        <w:pageBreakBefore w:val="0"/>
        <w:numPr>
          <w:ilvl w:val="0"/>
          <w:numId w:val="3"/>
        </w:numPr>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kern w:val="2"/>
          <w:sz w:val="32"/>
          <w:szCs w:val="32"/>
          <w:lang w:val="en-US" w:eastAsia="zh-CN" w:bidi="ar-SA"/>
        </w:rPr>
        <w:t>竞买保证金到账时间以网上挂牌交</w:t>
      </w:r>
      <w:r>
        <w:rPr>
          <w:rFonts w:hint="default" w:ascii="Times New Roman" w:hAnsi="Times New Roman" w:eastAsia="仿宋_GB2312" w:cs="Times New Roman"/>
          <w:b w:val="0"/>
          <w:bCs w:val="0"/>
          <w:color w:val="auto"/>
          <w:sz w:val="32"/>
          <w:szCs w:val="32"/>
        </w:rPr>
        <w:t>易系统确认并发出《保证金到账通知书》为准。</w:t>
      </w:r>
    </w:p>
    <w:p>
      <w:pPr>
        <w:keepNext w:val="0"/>
        <w:keepLines w:val="0"/>
        <w:pageBreakBefore w:val="0"/>
        <w:numPr>
          <w:ilvl w:val="0"/>
          <w:numId w:val="0"/>
        </w:numPr>
        <w:kinsoku/>
        <w:wordWrap/>
        <w:overflowPunct/>
        <w:topLinePunct w:val="0"/>
        <w:autoSpaceDE/>
        <w:autoSpaceDN/>
        <w:bidi w:val="0"/>
        <w:adjustRightInd/>
        <w:snapToGrid/>
        <w:spacing w:line="240" w:lineRule="auto"/>
        <w:ind w:firstLine="643" w:firstLineChars="200"/>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lang w:eastAsia="zh-CN"/>
        </w:rPr>
        <w:t>六、</w:t>
      </w:r>
      <w:r>
        <w:rPr>
          <w:rFonts w:hint="default" w:ascii="Times New Roman" w:hAnsi="Times New Roman" w:eastAsia="仿宋_GB2312" w:cs="Times New Roman"/>
          <w:b/>
          <w:bCs/>
          <w:color w:val="auto"/>
          <w:sz w:val="32"/>
          <w:szCs w:val="32"/>
        </w:rPr>
        <w:t>竞买申请</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本宗国有建设用地使用权网上挂牌出让只接受网上竞买申请，即通过网上挂牌交易系统进行，不接受电话、邮寄、书面、电子邮件及口头竞买。凡办理数字证书、按要求足额交纳竞买保证金的申请人，方可参加网上挂牌交易活动。</w:t>
      </w:r>
    </w:p>
    <w:p>
      <w:pPr>
        <w:keepNext w:val="0"/>
        <w:keepLines w:val="0"/>
        <w:pageBreakBefore w:val="0"/>
        <w:kinsoku/>
        <w:wordWrap/>
        <w:overflowPunct/>
        <w:topLinePunct w:val="0"/>
        <w:autoSpaceDE/>
        <w:autoSpaceDN/>
        <w:bidi w:val="0"/>
        <w:adjustRightInd/>
        <w:snapToGrid/>
        <w:spacing w:line="240" w:lineRule="auto"/>
        <w:ind w:firstLine="627" w:firstLineChars="196"/>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rPr>
        <w:t>可以单独申请，也可以联合申请</w:t>
      </w:r>
      <w:r>
        <w:rPr>
          <w:rFonts w:hint="default" w:ascii="Times New Roman" w:hAnsi="Times New Roman" w:eastAsia="仿宋_GB2312" w:cs="Times New Roman"/>
          <w:b w:val="0"/>
          <w:bCs w:val="0"/>
          <w:color w:val="auto"/>
          <w:sz w:val="32"/>
          <w:szCs w:val="32"/>
          <w:lang w:eastAsia="zh-CN"/>
        </w:rPr>
        <w:t>：</w:t>
      </w:r>
    </w:p>
    <w:p>
      <w:pPr>
        <w:keepNext w:val="0"/>
        <w:keepLines w:val="0"/>
        <w:pageBreakBefore w:val="0"/>
        <w:kinsoku/>
        <w:wordWrap/>
        <w:overflowPunct/>
        <w:topLinePunct w:val="0"/>
        <w:autoSpaceDE/>
        <w:autoSpaceDN/>
        <w:bidi w:val="0"/>
        <w:adjustRightInd/>
        <w:snapToGrid/>
        <w:spacing w:line="240" w:lineRule="auto"/>
        <w:ind w:firstLine="627" w:firstLineChars="196"/>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（一）</w:t>
      </w:r>
      <w:r>
        <w:rPr>
          <w:rFonts w:hint="default" w:ascii="Times New Roman" w:hAnsi="Times New Roman" w:eastAsia="仿宋_GB2312" w:cs="Times New Roman"/>
          <w:color w:val="auto"/>
          <w:sz w:val="32"/>
          <w:szCs w:val="32"/>
        </w:rPr>
        <w:t>单独申请竞买的，竞买申请人为非本市注册登记的企业，在竞得土地后，必须于2个月内在本市工商行政管理部门注册成立项目开发公司，并以该公司名义办理土地出让与登记发证手续。新成立公司必须是竞得人的全资子公司，即新公司的股东必须100%是竞买申请企业作为法人的股东。根据挂牌出让结果，可先与竞得人签订《出让合同》，在竞得人按约定办理完新公司注册登记手续后，再与新公司签订国有建设用地使用权出让合同补充条款；也可按约定直接与新公司签订《出让合同》。</w:t>
      </w:r>
    </w:p>
    <w:p>
      <w:pPr>
        <w:keepNext w:val="0"/>
        <w:keepLines w:val="0"/>
        <w:pageBreakBefore w:val="0"/>
        <w:kinsoku/>
        <w:wordWrap/>
        <w:overflowPunct/>
        <w:topLinePunct w:val="0"/>
        <w:autoSpaceDE/>
        <w:autoSpaceDN/>
        <w:bidi w:val="0"/>
        <w:adjustRightInd/>
        <w:snapToGrid/>
        <w:spacing w:line="240" w:lineRule="auto"/>
        <w:ind w:firstLine="627" w:firstLineChars="196"/>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color w:val="auto"/>
          <w:sz w:val="32"/>
          <w:szCs w:val="32"/>
          <w:lang w:val="en-US" w:eastAsia="zh-CN"/>
        </w:rPr>
        <w:t>（二）</w:t>
      </w:r>
      <w:r>
        <w:rPr>
          <w:rFonts w:hint="default" w:ascii="Times New Roman" w:hAnsi="Times New Roman" w:eastAsia="仿宋_GB2312" w:cs="Times New Roman"/>
          <w:color w:val="auto"/>
          <w:sz w:val="32"/>
          <w:szCs w:val="32"/>
        </w:rPr>
        <w:t>联合申请竞买的，联合竞买人在提交竞买申请材料时，须提交一份联合竞买申请书和协议，协议主要规定联合各方的权利和义务、参与竞买的代表人、联合各方的出资比例等。联合竞买申请人竞得土地后须于2个月内在本市工商行政管理部门按照申请书申报的出资人及出资比例设立新公司。根据挂牌出让结果，可先与竞得人签订《出让合同》，在竞得人按约定办理完新公司注册登记手续后，再与新公司签订国有建设用地使用权出让合同补充条款</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也可按约定直接与新公司签订《出让合同》</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并以新公司名义办理土地登记发证手续，不能按联合申请人各自出资比例分割办证。如对联合竞买申请人的开发资质条件有明确要求的，在审查联合竞买申请人资质时，以联合体内资质最低一方的资质确定竞买资格条件。</w:t>
      </w:r>
    </w:p>
    <w:p>
      <w:pPr>
        <w:pStyle w:val="3"/>
        <w:keepNext w:val="0"/>
        <w:keepLines w:val="0"/>
        <w:pageBreakBefore w:val="0"/>
        <w:kinsoku/>
        <w:wordWrap/>
        <w:overflowPunct/>
        <w:topLinePunct w:val="0"/>
        <w:autoSpaceDE/>
        <w:autoSpaceDN/>
        <w:bidi w:val="0"/>
        <w:adjustRightInd/>
        <w:snapToGrid/>
        <w:spacing w:line="240" w:lineRule="auto"/>
        <w:ind w:firstLine="579" w:firstLineChars="181"/>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本宗国有建设用地使用权网上挂牌出让实行竞买资格后置审查。竞买申请人交纳足额竞买保证金即获得竞买报价权限。</w:t>
      </w:r>
    </w:p>
    <w:p>
      <w:pPr>
        <w:pStyle w:val="3"/>
        <w:keepNext w:val="0"/>
        <w:keepLines w:val="0"/>
        <w:pageBreakBefore w:val="0"/>
        <w:kinsoku/>
        <w:wordWrap/>
        <w:overflowPunct/>
        <w:topLinePunct w:val="0"/>
        <w:autoSpaceDE/>
        <w:autoSpaceDN/>
        <w:bidi w:val="0"/>
        <w:adjustRightInd/>
        <w:snapToGrid/>
        <w:spacing w:line="240" w:lineRule="auto"/>
        <w:ind w:firstLine="581" w:firstLineChars="181"/>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七、竞买人电子报价及电子限时竞价</w:t>
      </w:r>
    </w:p>
    <w:p>
      <w:pPr>
        <w:pStyle w:val="3"/>
        <w:keepNext w:val="0"/>
        <w:keepLines w:val="0"/>
        <w:pageBreakBefore w:val="0"/>
        <w:kinsoku/>
        <w:wordWrap/>
        <w:overflowPunct/>
        <w:topLinePunct w:val="0"/>
        <w:autoSpaceDE/>
        <w:autoSpaceDN/>
        <w:bidi w:val="0"/>
        <w:adjustRightInd/>
        <w:snapToGrid/>
        <w:spacing w:line="240" w:lineRule="auto"/>
        <w:ind w:firstLine="579" w:firstLineChars="181"/>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sz w:val="32"/>
          <w:szCs w:val="32"/>
        </w:rPr>
        <w:t>竞买人须详细阅读本宗地网上挂牌出让公告、竞买须知及网上挂牌交易系统操作指南，熟练操作网上挂牌交易系统，按竞买规则进行电子报价及电子限时竞价。</w:t>
      </w:r>
    </w:p>
    <w:p>
      <w:pPr>
        <w:pStyle w:val="3"/>
        <w:keepNext w:val="0"/>
        <w:keepLines w:val="0"/>
        <w:pageBreakBefore w:val="0"/>
        <w:kinsoku/>
        <w:wordWrap/>
        <w:overflowPunct/>
        <w:topLinePunct w:val="0"/>
        <w:autoSpaceDE/>
        <w:autoSpaceDN/>
        <w:bidi w:val="0"/>
        <w:adjustRightInd/>
        <w:snapToGrid/>
        <w:spacing w:line="240" w:lineRule="auto"/>
        <w:ind w:firstLine="581" w:firstLineChars="181"/>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八、确定成交候选人</w:t>
      </w:r>
    </w:p>
    <w:p>
      <w:pPr>
        <w:pStyle w:val="3"/>
        <w:keepNext w:val="0"/>
        <w:keepLines w:val="0"/>
        <w:pageBreakBefore w:val="0"/>
        <w:kinsoku/>
        <w:wordWrap/>
        <w:overflowPunct/>
        <w:topLinePunct w:val="0"/>
        <w:autoSpaceDE/>
        <w:autoSpaceDN/>
        <w:bidi w:val="0"/>
        <w:adjustRightInd/>
        <w:snapToGrid/>
        <w:spacing w:line="240" w:lineRule="auto"/>
        <w:ind w:firstLine="579" w:firstLineChars="181"/>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rPr>
        <w:t>本</w:t>
      </w:r>
      <w:r>
        <w:rPr>
          <w:rFonts w:hint="default" w:ascii="Times New Roman" w:hAnsi="Times New Roman" w:eastAsia="仿宋_GB2312" w:cs="Times New Roman"/>
          <w:b w:val="0"/>
          <w:bCs w:val="0"/>
          <w:color w:val="auto"/>
          <w:sz w:val="32"/>
          <w:szCs w:val="32"/>
          <w:highlight w:val="none"/>
          <w:lang w:eastAsia="zh-CN"/>
        </w:rPr>
        <w:t>宗</w:t>
      </w:r>
      <w:r>
        <w:rPr>
          <w:rFonts w:hint="default" w:ascii="Times New Roman" w:hAnsi="Times New Roman" w:eastAsia="仿宋_GB2312" w:cs="Times New Roman"/>
          <w:b w:val="0"/>
          <w:bCs w:val="0"/>
          <w:color w:val="auto"/>
          <w:sz w:val="32"/>
          <w:szCs w:val="32"/>
          <w:highlight w:val="none"/>
        </w:rPr>
        <w:t>国有建设用地使用权网上挂牌出让为无底价挂牌，</w:t>
      </w:r>
      <w:r>
        <w:rPr>
          <w:rFonts w:hint="default" w:ascii="Times New Roman" w:hAnsi="Times New Roman" w:eastAsia="仿宋_GB2312" w:cs="Times New Roman"/>
          <w:b w:val="0"/>
          <w:bCs w:val="0"/>
          <w:color w:val="auto"/>
          <w:sz w:val="32"/>
          <w:szCs w:val="32"/>
          <w:highlight w:val="none"/>
          <w:lang w:val="en-US" w:eastAsia="zh-CN"/>
        </w:rPr>
        <w:t>按照价高者得的原则确定成交候选人。</w:t>
      </w:r>
    </w:p>
    <w:p>
      <w:pPr>
        <w:pStyle w:val="3"/>
        <w:keepNext w:val="0"/>
        <w:keepLines w:val="0"/>
        <w:pageBreakBefore w:val="0"/>
        <w:kinsoku/>
        <w:wordWrap/>
        <w:overflowPunct/>
        <w:topLinePunct w:val="0"/>
        <w:autoSpaceDE/>
        <w:autoSpaceDN/>
        <w:bidi w:val="0"/>
        <w:adjustRightInd/>
        <w:snapToGrid/>
        <w:spacing w:line="240" w:lineRule="auto"/>
        <w:ind w:firstLine="581" w:firstLineChars="181"/>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九、资格审查</w:t>
      </w:r>
    </w:p>
    <w:p>
      <w:pPr>
        <w:pStyle w:val="3"/>
        <w:keepNext w:val="0"/>
        <w:keepLines w:val="0"/>
        <w:pageBreakBefore w:val="0"/>
        <w:kinsoku/>
        <w:wordWrap/>
        <w:overflowPunct/>
        <w:topLinePunct w:val="0"/>
        <w:autoSpaceDE/>
        <w:autoSpaceDN/>
        <w:bidi w:val="0"/>
        <w:adjustRightInd/>
        <w:snapToGrid/>
        <w:spacing w:line="240" w:lineRule="auto"/>
        <w:ind w:firstLine="579" w:firstLineChars="181"/>
        <w:textAlignment w:val="auto"/>
        <w:rPr>
          <w:rFonts w:hint="default" w:ascii="Times New Roman" w:hAnsi="Times New Roman" w:eastAsia="仿宋_GB2312" w:cs="Times New Roman"/>
          <w:b w:val="0"/>
          <w:bCs w:val="0"/>
          <w:color w:val="auto"/>
          <w:sz w:val="32"/>
          <w:szCs w:val="32"/>
          <w:u w:val="none"/>
        </w:rPr>
      </w:pPr>
      <w:r>
        <w:rPr>
          <w:rFonts w:hint="default" w:ascii="Times New Roman" w:hAnsi="Times New Roman" w:eastAsia="仿宋_GB2312" w:cs="Times New Roman"/>
          <w:b w:val="0"/>
          <w:bCs w:val="0"/>
          <w:color w:val="auto"/>
          <w:sz w:val="32"/>
          <w:szCs w:val="32"/>
          <w:u w:val="none"/>
        </w:rPr>
        <w:t>成交候选人应在网上挂牌交易系统确定成交候选人之日起</w:t>
      </w:r>
      <w:r>
        <w:rPr>
          <w:rFonts w:hint="default" w:ascii="Times New Roman" w:hAnsi="Times New Roman" w:eastAsia="仿宋_GB2312" w:cs="Times New Roman"/>
          <w:b w:val="0"/>
          <w:bCs w:val="0"/>
          <w:color w:val="auto"/>
          <w:sz w:val="32"/>
          <w:szCs w:val="32"/>
          <w:u w:val="none"/>
          <w:lang w:val="en-US" w:eastAsia="zh-CN"/>
        </w:rPr>
        <w:t>2</w:t>
      </w:r>
      <w:r>
        <w:rPr>
          <w:rFonts w:hint="default" w:ascii="Times New Roman" w:hAnsi="Times New Roman" w:eastAsia="仿宋_GB2312" w:cs="Times New Roman"/>
          <w:b w:val="0"/>
          <w:bCs w:val="0"/>
          <w:color w:val="auto"/>
          <w:sz w:val="32"/>
          <w:szCs w:val="32"/>
          <w:u w:val="none"/>
        </w:rPr>
        <w:t>个工作日内将竞买申请纸质材料提交至我局，由我局对竞买资格进行审查。我局将于</w:t>
      </w:r>
      <w:r>
        <w:rPr>
          <w:rFonts w:hint="default" w:ascii="Times New Roman" w:hAnsi="Times New Roman" w:eastAsia="仿宋_GB2312" w:cs="Times New Roman"/>
          <w:b w:val="0"/>
          <w:bCs w:val="0"/>
          <w:color w:val="auto"/>
          <w:sz w:val="32"/>
          <w:szCs w:val="32"/>
          <w:u w:val="none"/>
          <w:lang w:val="en-US" w:eastAsia="zh-CN"/>
        </w:rPr>
        <w:t>2022</w:t>
      </w:r>
      <w:r>
        <w:rPr>
          <w:rFonts w:hint="default" w:ascii="Times New Roman" w:hAnsi="Times New Roman" w:eastAsia="仿宋_GB2312" w:cs="Times New Roman"/>
          <w:b w:val="0"/>
          <w:bCs w:val="0"/>
          <w:color w:val="auto"/>
          <w:sz w:val="32"/>
          <w:szCs w:val="32"/>
          <w:highlight w:val="none"/>
          <w:u w:val="none"/>
        </w:rPr>
        <w:t>年</w:t>
      </w:r>
      <w:r>
        <w:rPr>
          <w:rFonts w:hint="default" w:ascii="Times New Roman" w:hAnsi="Times New Roman" w:eastAsia="仿宋_GB2312" w:cs="Times New Roman"/>
          <w:b w:val="0"/>
          <w:bCs w:val="0"/>
          <w:color w:val="auto"/>
          <w:sz w:val="32"/>
          <w:szCs w:val="32"/>
          <w:highlight w:val="none"/>
          <w:u w:val="none"/>
          <w:lang w:val="en-US" w:eastAsia="zh-CN"/>
        </w:rPr>
        <w:t>10</w:t>
      </w:r>
      <w:r>
        <w:rPr>
          <w:rFonts w:hint="default" w:ascii="Times New Roman" w:hAnsi="Times New Roman" w:eastAsia="仿宋_GB2312" w:cs="Times New Roman"/>
          <w:b w:val="0"/>
          <w:bCs w:val="0"/>
          <w:color w:val="auto"/>
          <w:sz w:val="32"/>
          <w:szCs w:val="32"/>
          <w:highlight w:val="none"/>
          <w:u w:val="none"/>
        </w:rPr>
        <w:t>月</w:t>
      </w:r>
      <w:r>
        <w:rPr>
          <w:rFonts w:hint="default" w:ascii="Times New Roman" w:hAnsi="Times New Roman" w:eastAsia="仿宋_GB2312" w:cs="Times New Roman"/>
          <w:b w:val="0"/>
          <w:bCs w:val="0"/>
          <w:color w:val="auto"/>
          <w:sz w:val="32"/>
          <w:szCs w:val="32"/>
          <w:highlight w:val="none"/>
          <w:u w:val="none"/>
          <w:lang w:val="en-US" w:eastAsia="zh-CN"/>
        </w:rPr>
        <w:t>31</w:t>
      </w:r>
      <w:r>
        <w:rPr>
          <w:rFonts w:hint="default" w:ascii="Times New Roman" w:hAnsi="Times New Roman" w:eastAsia="仿宋_GB2312" w:cs="Times New Roman"/>
          <w:b w:val="0"/>
          <w:bCs w:val="0"/>
          <w:color w:val="auto"/>
          <w:sz w:val="32"/>
          <w:szCs w:val="32"/>
          <w:u w:val="none"/>
        </w:rPr>
        <w:t>日前确定符合竞买资格的成交候选人为竞得人。</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成交候选人资格审查须提交下列材料：</w:t>
      </w:r>
    </w:p>
    <w:p>
      <w:pPr>
        <w:pStyle w:val="12"/>
        <w:keepNext w:val="0"/>
        <w:keepLines w:val="0"/>
        <w:pageBreakBefore w:val="0"/>
        <w:widowControl/>
        <w:numPr>
          <w:ilvl w:val="0"/>
          <w:numId w:val="4"/>
        </w:numPr>
        <w:kinsoku/>
        <w:wordWrap/>
        <w:overflowPunct/>
        <w:topLinePunct w:val="0"/>
        <w:autoSpaceDE/>
        <w:autoSpaceDN/>
        <w:bidi w:val="0"/>
        <w:adjustRightInd/>
        <w:snapToGrid/>
        <w:spacing w:line="240" w:lineRule="auto"/>
        <w:ind w:firstLine="675" w:firstLineChars="211"/>
        <w:textAlignment w:val="auto"/>
        <w:rPr>
          <w:rFonts w:hint="default" w:ascii="Times New Roman" w:hAnsi="Times New Roman" w:eastAsia="仿宋_GB2312" w:cs="Times New Roman"/>
          <w:b w:val="0"/>
          <w:bCs w:val="0"/>
          <w:color w:val="auto"/>
          <w:kern w:val="2"/>
          <w:sz w:val="32"/>
          <w:szCs w:val="32"/>
        </w:rPr>
      </w:pPr>
      <w:r>
        <w:rPr>
          <w:rFonts w:hint="default" w:ascii="Times New Roman" w:hAnsi="Times New Roman" w:eastAsia="仿宋_GB2312" w:cs="Times New Roman"/>
          <w:b w:val="0"/>
          <w:bCs w:val="0"/>
          <w:color w:val="auto"/>
          <w:kern w:val="2"/>
          <w:sz w:val="32"/>
          <w:szCs w:val="32"/>
        </w:rPr>
        <w:t>《竞买申请书》（加盖公章）；</w:t>
      </w:r>
    </w:p>
    <w:p>
      <w:pPr>
        <w:pStyle w:val="12"/>
        <w:keepNext w:val="0"/>
        <w:keepLines w:val="0"/>
        <w:pageBreakBefore w:val="0"/>
        <w:widowControl/>
        <w:numPr>
          <w:ilvl w:val="0"/>
          <w:numId w:val="4"/>
        </w:numPr>
        <w:kinsoku/>
        <w:wordWrap/>
        <w:overflowPunct/>
        <w:topLinePunct w:val="0"/>
        <w:autoSpaceDE/>
        <w:autoSpaceDN/>
        <w:bidi w:val="0"/>
        <w:adjustRightInd/>
        <w:snapToGrid/>
        <w:spacing w:line="240" w:lineRule="auto"/>
        <w:ind w:firstLine="675" w:firstLineChars="211"/>
        <w:textAlignment w:val="auto"/>
        <w:rPr>
          <w:rFonts w:hint="default" w:ascii="Times New Roman" w:hAnsi="Times New Roman" w:eastAsia="仿宋_GB2312" w:cs="Times New Roman"/>
          <w:b w:val="0"/>
          <w:bCs w:val="0"/>
          <w:color w:val="auto"/>
          <w:kern w:val="2"/>
          <w:sz w:val="32"/>
          <w:szCs w:val="32"/>
        </w:rPr>
      </w:pPr>
      <w:r>
        <w:rPr>
          <w:rFonts w:hint="default" w:ascii="Times New Roman" w:hAnsi="Times New Roman" w:eastAsia="仿宋_GB2312" w:cs="Times New Roman"/>
          <w:b w:val="0"/>
          <w:bCs w:val="0"/>
          <w:color w:val="auto"/>
          <w:kern w:val="2"/>
          <w:sz w:val="32"/>
          <w:szCs w:val="32"/>
        </w:rPr>
        <w:t>《竞价结果通知书》（加盖公章）；</w:t>
      </w:r>
    </w:p>
    <w:p>
      <w:pPr>
        <w:pStyle w:val="12"/>
        <w:keepNext w:val="0"/>
        <w:keepLines w:val="0"/>
        <w:pageBreakBefore w:val="0"/>
        <w:widowControl/>
        <w:numPr>
          <w:ilvl w:val="0"/>
          <w:numId w:val="4"/>
        </w:numPr>
        <w:kinsoku/>
        <w:wordWrap/>
        <w:overflowPunct/>
        <w:topLinePunct w:val="0"/>
        <w:autoSpaceDE/>
        <w:autoSpaceDN/>
        <w:bidi w:val="0"/>
        <w:adjustRightInd/>
        <w:snapToGrid/>
        <w:spacing w:line="240" w:lineRule="auto"/>
        <w:ind w:firstLine="675" w:firstLineChars="211"/>
        <w:textAlignment w:val="auto"/>
        <w:rPr>
          <w:rFonts w:hint="default" w:ascii="Times New Roman" w:hAnsi="Times New Roman" w:eastAsia="仿宋_GB2312" w:cs="Times New Roman"/>
          <w:b w:val="0"/>
          <w:bCs w:val="0"/>
          <w:color w:val="auto"/>
          <w:kern w:val="2"/>
          <w:sz w:val="32"/>
          <w:szCs w:val="32"/>
        </w:rPr>
      </w:pPr>
      <w:r>
        <w:rPr>
          <w:rFonts w:hint="default" w:ascii="Times New Roman" w:hAnsi="Times New Roman" w:eastAsia="仿宋_GB2312" w:cs="Times New Roman"/>
          <w:b w:val="0"/>
          <w:bCs w:val="0"/>
          <w:color w:val="auto"/>
          <w:kern w:val="2"/>
          <w:sz w:val="32"/>
          <w:szCs w:val="32"/>
        </w:rPr>
        <w:t>《竞买保证金到账通知书》（加盖公章）；</w:t>
      </w:r>
    </w:p>
    <w:p>
      <w:pPr>
        <w:pStyle w:val="12"/>
        <w:keepNext w:val="0"/>
        <w:keepLines w:val="0"/>
        <w:pageBreakBefore w:val="0"/>
        <w:widowControl/>
        <w:numPr>
          <w:ilvl w:val="0"/>
          <w:numId w:val="4"/>
        </w:numPr>
        <w:kinsoku/>
        <w:wordWrap/>
        <w:overflowPunct/>
        <w:topLinePunct w:val="0"/>
        <w:autoSpaceDE/>
        <w:autoSpaceDN/>
        <w:bidi w:val="0"/>
        <w:adjustRightInd/>
        <w:snapToGrid/>
        <w:spacing w:line="240" w:lineRule="auto"/>
        <w:ind w:firstLine="675" w:firstLineChars="211"/>
        <w:textAlignment w:val="auto"/>
        <w:rPr>
          <w:rFonts w:hint="default" w:ascii="Times New Roman" w:hAnsi="Times New Roman" w:eastAsia="仿宋_GB2312" w:cs="Times New Roman"/>
          <w:b w:val="0"/>
          <w:bCs w:val="0"/>
          <w:color w:val="auto"/>
          <w:kern w:val="2"/>
          <w:sz w:val="32"/>
          <w:szCs w:val="32"/>
        </w:rPr>
      </w:pPr>
      <w:r>
        <w:rPr>
          <w:rFonts w:hint="default" w:ascii="Times New Roman" w:hAnsi="Times New Roman" w:eastAsia="仿宋_GB2312" w:cs="Times New Roman"/>
          <w:b w:val="0"/>
          <w:bCs w:val="0"/>
          <w:color w:val="auto"/>
          <w:kern w:val="2"/>
          <w:sz w:val="32"/>
          <w:szCs w:val="32"/>
        </w:rPr>
        <w:t>竞买保证金转账凭证复印件（加盖公章）；</w:t>
      </w:r>
    </w:p>
    <w:p>
      <w:pPr>
        <w:pStyle w:val="12"/>
        <w:keepNext w:val="0"/>
        <w:keepLines w:val="0"/>
        <w:pageBreakBefore w:val="0"/>
        <w:widowControl/>
        <w:numPr>
          <w:ilvl w:val="0"/>
          <w:numId w:val="4"/>
        </w:numPr>
        <w:kinsoku/>
        <w:wordWrap/>
        <w:overflowPunct/>
        <w:topLinePunct w:val="0"/>
        <w:autoSpaceDE/>
        <w:autoSpaceDN/>
        <w:bidi w:val="0"/>
        <w:adjustRightInd/>
        <w:snapToGrid/>
        <w:spacing w:line="240" w:lineRule="auto"/>
        <w:ind w:firstLine="675" w:firstLineChars="211"/>
        <w:textAlignment w:val="auto"/>
        <w:rPr>
          <w:rFonts w:hint="default" w:ascii="Times New Roman" w:hAnsi="Times New Roman" w:eastAsia="仿宋_GB2312" w:cs="Times New Roman"/>
          <w:b w:val="0"/>
          <w:bCs w:val="0"/>
          <w:color w:val="auto"/>
          <w:kern w:val="2"/>
          <w:sz w:val="32"/>
          <w:szCs w:val="32"/>
        </w:rPr>
      </w:pPr>
      <w:r>
        <w:rPr>
          <w:rFonts w:hint="default" w:ascii="Times New Roman" w:hAnsi="Times New Roman" w:eastAsia="仿宋_GB2312" w:cs="Times New Roman"/>
          <w:b w:val="0"/>
          <w:bCs w:val="0"/>
          <w:color w:val="auto"/>
          <w:kern w:val="2"/>
          <w:sz w:val="32"/>
          <w:szCs w:val="32"/>
        </w:rPr>
        <w:t>申请竞买人有效的《营业执照》复印件（加盖公章）；</w:t>
      </w:r>
    </w:p>
    <w:p>
      <w:pPr>
        <w:pStyle w:val="12"/>
        <w:keepNext w:val="0"/>
        <w:keepLines w:val="0"/>
        <w:pageBreakBefore w:val="0"/>
        <w:widowControl/>
        <w:numPr>
          <w:ilvl w:val="0"/>
          <w:numId w:val="4"/>
        </w:numPr>
        <w:kinsoku/>
        <w:wordWrap/>
        <w:overflowPunct/>
        <w:topLinePunct w:val="0"/>
        <w:autoSpaceDE/>
        <w:autoSpaceDN/>
        <w:bidi w:val="0"/>
        <w:adjustRightInd/>
        <w:snapToGrid/>
        <w:spacing w:line="240" w:lineRule="auto"/>
        <w:ind w:firstLine="675" w:firstLineChars="211"/>
        <w:textAlignment w:val="auto"/>
        <w:rPr>
          <w:rFonts w:hint="default" w:ascii="Times New Roman" w:hAnsi="Times New Roman" w:eastAsia="仿宋_GB2312" w:cs="Times New Roman"/>
          <w:b w:val="0"/>
          <w:bCs w:val="0"/>
          <w:color w:val="auto"/>
          <w:kern w:val="2"/>
          <w:sz w:val="32"/>
          <w:szCs w:val="32"/>
        </w:rPr>
      </w:pPr>
      <w:r>
        <w:rPr>
          <w:rFonts w:hint="default" w:ascii="Times New Roman" w:hAnsi="Times New Roman" w:eastAsia="仿宋_GB2312" w:cs="Times New Roman"/>
          <w:b w:val="0"/>
          <w:bCs w:val="0"/>
          <w:color w:val="auto"/>
          <w:kern w:val="2"/>
          <w:sz w:val="32"/>
          <w:szCs w:val="32"/>
        </w:rPr>
        <w:t>法定代表人身份证复印件（加盖公章）；</w:t>
      </w:r>
    </w:p>
    <w:p>
      <w:pPr>
        <w:pStyle w:val="12"/>
        <w:keepNext w:val="0"/>
        <w:keepLines w:val="0"/>
        <w:pageBreakBefore w:val="0"/>
        <w:widowControl/>
        <w:numPr>
          <w:ilvl w:val="0"/>
          <w:numId w:val="4"/>
        </w:numPr>
        <w:kinsoku/>
        <w:wordWrap/>
        <w:overflowPunct/>
        <w:topLinePunct w:val="0"/>
        <w:autoSpaceDE/>
        <w:autoSpaceDN/>
        <w:bidi w:val="0"/>
        <w:adjustRightInd/>
        <w:snapToGrid/>
        <w:spacing w:line="240" w:lineRule="auto"/>
        <w:ind w:firstLine="675" w:firstLineChars="211"/>
        <w:textAlignment w:val="auto"/>
        <w:rPr>
          <w:rFonts w:hint="default" w:ascii="Times New Roman" w:hAnsi="Times New Roman" w:eastAsia="仿宋_GB2312" w:cs="Times New Roman"/>
          <w:b w:val="0"/>
          <w:bCs w:val="0"/>
          <w:color w:val="auto"/>
          <w:kern w:val="2"/>
          <w:sz w:val="32"/>
          <w:szCs w:val="32"/>
        </w:rPr>
      </w:pPr>
      <w:r>
        <w:rPr>
          <w:rFonts w:hint="default" w:ascii="Times New Roman" w:hAnsi="Times New Roman" w:eastAsia="仿宋_GB2312" w:cs="Times New Roman"/>
          <w:b w:val="0"/>
          <w:bCs w:val="0"/>
          <w:color w:val="auto"/>
          <w:kern w:val="2"/>
          <w:sz w:val="32"/>
          <w:szCs w:val="32"/>
        </w:rPr>
        <w:t>授权他人代理的授权委托书及代理人身份证复印件（核对原件）；</w:t>
      </w:r>
    </w:p>
    <w:p>
      <w:pPr>
        <w:pStyle w:val="12"/>
        <w:keepNext w:val="0"/>
        <w:keepLines w:val="0"/>
        <w:pageBreakBefore w:val="0"/>
        <w:widowControl/>
        <w:numPr>
          <w:ilvl w:val="0"/>
          <w:numId w:val="4"/>
        </w:numPr>
        <w:kinsoku/>
        <w:wordWrap/>
        <w:overflowPunct/>
        <w:topLinePunct w:val="0"/>
        <w:autoSpaceDE/>
        <w:autoSpaceDN/>
        <w:bidi w:val="0"/>
        <w:adjustRightInd/>
        <w:snapToGrid/>
        <w:spacing w:line="240" w:lineRule="auto"/>
        <w:ind w:firstLine="675" w:firstLineChars="211"/>
        <w:textAlignment w:val="auto"/>
        <w:rPr>
          <w:rFonts w:hint="default" w:ascii="Times New Roman" w:hAnsi="Times New Roman" w:eastAsia="仿宋_GB2312" w:cs="Times New Roman"/>
          <w:b w:val="0"/>
          <w:bCs w:val="0"/>
          <w:color w:val="auto"/>
          <w:kern w:val="2"/>
          <w:sz w:val="32"/>
          <w:szCs w:val="32"/>
          <w:lang w:val="en-US" w:eastAsia="zh-CN"/>
        </w:rPr>
      </w:pPr>
      <w:r>
        <w:rPr>
          <w:rFonts w:hint="default" w:ascii="Times New Roman" w:hAnsi="Times New Roman" w:eastAsia="仿宋_GB2312" w:cs="Times New Roman"/>
          <w:b w:val="0"/>
          <w:bCs w:val="0"/>
          <w:color w:val="auto"/>
          <w:kern w:val="2"/>
          <w:sz w:val="32"/>
          <w:szCs w:val="32"/>
        </w:rPr>
        <w:t>联合竞买协议</w:t>
      </w:r>
      <w:r>
        <w:rPr>
          <w:rFonts w:hint="default" w:ascii="Times New Roman" w:hAnsi="Times New Roman" w:eastAsia="仿宋_GB2312" w:cs="Times New Roman"/>
          <w:b w:val="0"/>
          <w:bCs w:val="0"/>
          <w:color w:val="auto"/>
          <w:kern w:val="2"/>
          <w:sz w:val="32"/>
          <w:szCs w:val="32"/>
          <w:lang w:val="en-US" w:eastAsia="zh-CN"/>
        </w:rPr>
        <w:t>；</w:t>
      </w:r>
    </w:p>
    <w:p>
      <w:pPr>
        <w:pStyle w:val="12"/>
        <w:keepNext w:val="0"/>
        <w:keepLines w:val="0"/>
        <w:pageBreakBefore w:val="0"/>
        <w:widowControl/>
        <w:numPr>
          <w:ilvl w:val="0"/>
          <w:numId w:val="4"/>
        </w:numPr>
        <w:kinsoku/>
        <w:wordWrap/>
        <w:overflowPunct/>
        <w:topLinePunct w:val="0"/>
        <w:autoSpaceDE/>
        <w:autoSpaceDN/>
        <w:bidi w:val="0"/>
        <w:adjustRightInd/>
        <w:snapToGrid/>
        <w:spacing w:line="240" w:lineRule="auto"/>
        <w:ind w:firstLine="675" w:firstLineChars="211"/>
        <w:textAlignment w:val="auto"/>
        <w:rPr>
          <w:rFonts w:hint="default" w:ascii="Times New Roman" w:hAnsi="Times New Roman" w:eastAsia="仿宋_GB2312" w:cs="Times New Roman"/>
          <w:b w:val="0"/>
          <w:bCs w:val="0"/>
          <w:color w:val="auto"/>
          <w:kern w:val="2"/>
          <w:sz w:val="32"/>
          <w:szCs w:val="32"/>
          <w:lang w:val="en-US" w:eastAsia="zh-CN"/>
        </w:rPr>
      </w:pPr>
      <w:r>
        <w:rPr>
          <w:rFonts w:hint="default" w:ascii="Times New Roman" w:hAnsi="Times New Roman" w:eastAsia="仿宋_GB2312" w:cs="Times New Roman"/>
          <w:b w:val="0"/>
          <w:bCs w:val="0"/>
          <w:color w:val="auto"/>
          <w:kern w:val="2"/>
          <w:sz w:val="32"/>
          <w:szCs w:val="32"/>
          <w:lang w:val="en-US" w:eastAsia="zh-CN"/>
        </w:rPr>
        <w:t>竞买人及其控股股东不存在违法、违规、违约行为的承诺书；</w:t>
      </w:r>
    </w:p>
    <w:p>
      <w:pPr>
        <w:pStyle w:val="12"/>
        <w:keepNext w:val="0"/>
        <w:keepLines w:val="0"/>
        <w:pageBreakBefore w:val="0"/>
        <w:widowControl/>
        <w:numPr>
          <w:ilvl w:val="0"/>
          <w:numId w:val="4"/>
        </w:numPr>
        <w:kinsoku/>
        <w:wordWrap/>
        <w:overflowPunct/>
        <w:topLinePunct w:val="0"/>
        <w:autoSpaceDE/>
        <w:autoSpaceDN/>
        <w:bidi w:val="0"/>
        <w:adjustRightInd/>
        <w:snapToGrid/>
        <w:spacing w:line="240" w:lineRule="auto"/>
        <w:ind w:firstLine="675" w:firstLineChars="211"/>
        <w:textAlignment w:val="auto"/>
        <w:rPr>
          <w:rFonts w:hint="default" w:ascii="Times New Roman" w:hAnsi="Times New Roman" w:eastAsia="仿宋_GB2312" w:cs="Times New Roman"/>
          <w:b w:val="0"/>
          <w:bCs w:val="0"/>
          <w:color w:val="auto"/>
          <w:kern w:val="2"/>
          <w:sz w:val="32"/>
          <w:szCs w:val="32"/>
          <w:lang w:val="en-US" w:eastAsia="zh-CN"/>
        </w:rPr>
      </w:pPr>
      <w:r>
        <w:rPr>
          <w:rFonts w:hint="default" w:ascii="Times New Roman" w:hAnsi="Times New Roman" w:eastAsia="仿宋_GB2312" w:cs="Times New Roman"/>
          <w:b w:val="0"/>
          <w:bCs w:val="0"/>
          <w:color w:val="auto"/>
          <w:kern w:val="2"/>
          <w:sz w:val="32"/>
          <w:szCs w:val="32"/>
          <w:lang w:val="en-US" w:eastAsia="zh-CN"/>
        </w:rPr>
        <w:t>其他</w:t>
      </w:r>
      <w:r>
        <w:rPr>
          <w:rFonts w:hint="default" w:ascii="Times New Roman" w:hAnsi="Times New Roman" w:eastAsia="仿宋_GB2312" w:cs="Times New Roman"/>
          <w:b w:val="0"/>
          <w:bCs w:val="0"/>
          <w:color w:val="auto"/>
          <w:sz w:val="32"/>
          <w:szCs w:val="32"/>
        </w:rPr>
        <w:t>资格审查</w:t>
      </w:r>
      <w:r>
        <w:rPr>
          <w:rFonts w:hint="default" w:ascii="Times New Roman" w:hAnsi="Times New Roman" w:eastAsia="仿宋_GB2312" w:cs="Times New Roman"/>
          <w:b w:val="0"/>
          <w:bCs w:val="0"/>
          <w:color w:val="auto"/>
          <w:sz w:val="32"/>
          <w:szCs w:val="32"/>
          <w:lang w:val="en-US" w:eastAsia="zh-CN"/>
        </w:rPr>
        <w:t>需要提供的材料。</w:t>
      </w:r>
      <w:r>
        <w:rPr>
          <w:rFonts w:hint="default" w:ascii="Times New Roman" w:hAnsi="Times New Roman" w:eastAsia="仿宋_GB2312" w:cs="Times New Roman"/>
          <w:b w:val="0"/>
          <w:bCs w:val="0"/>
          <w:color w:val="auto"/>
          <w:kern w:val="2"/>
          <w:sz w:val="32"/>
          <w:szCs w:val="32"/>
        </w:rPr>
        <w:t xml:space="preserve">    </w:t>
      </w:r>
      <w:r>
        <w:rPr>
          <w:rFonts w:hint="default" w:ascii="Times New Roman" w:hAnsi="Times New Roman" w:cs="Times New Roman"/>
          <w:color w:val="auto"/>
          <w:sz w:val="28"/>
          <w:szCs w:val="28"/>
        </w:rPr>
        <w:t xml:space="preserve">       </w:t>
      </w:r>
    </w:p>
    <w:p>
      <w:pPr>
        <w:keepNext w:val="0"/>
        <w:keepLines w:val="0"/>
        <w:pageBreakBefore w:val="0"/>
        <w:kinsoku/>
        <w:wordWrap/>
        <w:overflowPunct/>
        <w:topLinePunct w:val="0"/>
        <w:autoSpaceDE/>
        <w:autoSpaceDN/>
        <w:bidi w:val="0"/>
        <w:adjustRightInd/>
        <w:snapToGrid/>
        <w:spacing w:line="240" w:lineRule="auto"/>
        <w:ind w:firstLine="555"/>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十、签订交易成交确认书及出让合同</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640" w:firstLineChars="200"/>
        <w:jc w:val="both"/>
        <w:textAlignment w:val="auto"/>
        <w:rPr>
          <w:rFonts w:hint="default" w:ascii="Times New Roman" w:hAnsi="Times New Roman" w:eastAsia="仿宋_GB2312" w:cs="Times New Roman"/>
          <w:b w:val="0"/>
          <w:bCs w:val="0"/>
          <w:color w:val="auto"/>
          <w:sz w:val="32"/>
          <w:szCs w:val="32"/>
          <w:lang w:val="en-US"/>
        </w:rPr>
      </w:pPr>
      <w:r>
        <w:rPr>
          <w:rFonts w:hint="default" w:ascii="Times New Roman" w:hAnsi="Times New Roman" w:eastAsia="仿宋_GB2312" w:cs="Times New Roman"/>
          <w:b w:val="0"/>
          <w:bCs w:val="0"/>
          <w:color w:val="auto"/>
          <w:sz w:val="32"/>
          <w:szCs w:val="32"/>
        </w:rPr>
        <w:t>竞得人应在接</w:t>
      </w:r>
      <w:r>
        <w:rPr>
          <w:rFonts w:hint="default" w:ascii="Times New Roman" w:hAnsi="Times New Roman" w:eastAsia="仿宋_GB2312" w:cs="Times New Roman"/>
          <w:b w:val="0"/>
          <w:bCs w:val="0"/>
          <w:color w:val="auto"/>
          <w:sz w:val="32"/>
          <w:szCs w:val="32"/>
          <w:u w:val="none"/>
        </w:rPr>
        <w:t>到竞得人确定通知之日起</w:t>
      </w:r>
      <w:r>
        <w:rPr>
          <w:rFonts w:hint="default" w:ascii="Times New Roman" w:hAnsi="Times New Roman" w:eastAsia="仿宋_GB2312" w:cs="Times New Roman"/>
          <w:b w:val="0"/>
          <w:bCs w:val="0"/>
          <w:color w:val="auto"/>
          <w:sz w:val="32"/>
          <w:szCs w:val="32"/>
          <w:u w:val="none"/>
          <w:lang w:val="en-US" w:eastAsia="zh-CN"/>
        </w:rPr>
        <w:t>5</w:t>
      </w:r>
      <w:r>
        <w:rPr>
          <w:rFonts w:hint="default" w:ascii="Times New Roman" w:hAnsi="Times New Roman" w:eastAsia="仿宋_GB2312" w:cs="Times New Roman"/>
          <w:b w:val="0"/>
          <w:bCs w:val="0"/>
          <w:color w:val="auto"/>
          <w:sz w:val="32"/>
          <w:szCs w:val="32"/>
          <w:u w:val="none"/>
        </w:rPr>
        <w:t>个工作日内</w:t>
      </w:r>
      <w:r>
        <w:rPr>
          <w:rFonts w:hint="default" w:ascii="Times New Roman" w:hAnsi="Times New Roman" w:eastAsia="仿宋_GB2312" w:cs="Times New Roman"/>
          <w:b w:val="0"/>
          <w:bCs w:val="0"/>
          <w:color w:val="auto"/>
          <w:sz w:val="32"/>
          <w:szCs w:val="32"/>
          <w:u w:val="none"/>
          <w:lang w:eastAsia="zh-CN"/>
        </w:rPr>
        <w:t>与我局、交易中心</w:t>
      </w:r>
      <w:r>
        <w:rPr>
          <w:rFonts w:hint="default" w:ascii="Times New Roman" w:hAnsi="Times New Roman" w:eastAsia="仿宋_GB2312" w:cs="Times New Roman"/>
          <w:b w:val="0"/>
          <w:bCs w:val="0"/>
          <w:color w:val="auto"/>
          <w:sz w:val="32"/>
          <w:szCs w:val="32"/>
          <w:u w:val="none"/>
        </w:rPr>
        <w:t>签订《成交确认书》，在签订《成交确认书》之日起</w:t>
      </w:r>
      <w:r>
        <w:rPr>
          <w:rFonts w:hint="default" w:ascii="Times New Roman" w:hAnsi="Times New Roman" w:eastAsia="仿宋_GB2312" w:cs="Times New Roman"/>
          <w:b w:val="0"/>
          <w:bCs w:val="0"/>
          <w:color w:val="auto"/>
          <w:sz w:val="32"/>
          <w:szCs w:val="32"/>
          <w:u w:val="none"/>
          <w:lang w:val="en-US" w:eastAsia="zh-CN"/>
        </w:rPr>
        <w:t>10</w:t>
      </w:r>
      <w:r>
        <w:rPr>
          <w:rFonts w:hint="default" w:ascii="Times New Roman" w:hAnsi="Times New Roman" w:eastAsia="仿宋_GB2312" w:cs="Times New Roman"/>
          <w:b w:val="0"/>
          <w:bCs w:val="0"/>
          <w:color w:val="auto"/>
          <w:sz w:val="32"/>
          <w:szCs w:val="32"/>
          <w:u w:val="none"/>
        </w:rPr>
        <w:t>个工作日内与我局签订《国有建设用地使用权出让合同》</w:t>
      </w:r>
      <w:r>
        <w:rPr>
          <w:rFonts w:hint="default" w:ascii="Times New Roman" w:hAnsi="Times New Roman" w:eastAsia="仿宋_GB2312" w:cs="Times New Roman"/>
          <w:b w:val="0"/>
          <w:bCs w:val="0"/>
          <w:color w:val="auto"/>
          <w:sz w:val="32"/>
          <w:szCs w:val="32"/>
          <w:u w:val="none"/>
          <w:lang w:eastAsia="zh-CN"/>
        </w:rPr>
        <w:t>，</w:t>
      </w:r>
      <w:r>
        <w:rPr>
          <w:rFonts w:hint="default" w:ascii="Times New Roman" w:hAnsi="Times New Roman" w:eastAsia="仿宋_GB2312" w:cs="Times New Roman"/>
          <w:b w:val="0"/>
          <w:bCs w:val="0"/>
          <w:color w:val="auto"/>
          <w:sz w:val="32"/>
          <w:szCs w:val="32"/>
          <w:u w:val="none"/>
          <w:lang w:val="en-US" w:eastAsia="zh-CN"/>
        </w:rPr>
        <w:t>以下简称《出让合同》。</w:t>
      </w:r>
    </w:p>
    <w:p>
      <w:pPr>
        <w:keepNext w:val="0"/>
        <w:keepLines w:val="0"/>
        <w:pageBreakBefore w:val="0"/>
        <w:kinsoku/>
        <w:wordWrap/>
        <w:overflowPunct/>
        <w:topLinePunct w:val="0"/>
        <w:autoSpaceDE/>
        <w:autoSpaceDN/>
        <w:bidi w:val="0"/>
        <w:adjustRightInd/>
        <w:snapToGrid/>
        <w:spacing w:line="240" w:lineRule="auto"/>
        <w:ind w:firstLine="643" w:firstLineChars="200"/>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十一、竞买保证金退还或转付成交价款</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签订</w:t>
      </w:r>
      <w:r>
        <w:rPr>
          <w:rFonts w:hint="default" w:ascii="Times New Roman" w:hAnsi="Times New Roman" w:eastAsia="仿宋_GB2312" w:cs="Times New Roman"/>
          <w:b w:val="0"/>
          <w:bCs w:val="0"/>
          <w:color w:val="auto"/>
          <w:sz w:val="32"/>
          <w:szCs w:val="32"/>
          <w:lang w:val="en-US" w:eastAsia="zh-CN"/>
        </w:rPr>
        <w:t>《出让合同》</w:t>
      </w:r>
      <w:r>
        <w:rPr>
          <w:rFonts w:hint="default" w:ascii="Times New Roman" w:hAnsi="Times New Roman" w:eastAsia="仿宋_GB2312" w:cs="Times New Roman"/>
          <w:b w:val="0"/>
          <w:bCs w:val="0"/>
          <w:color w:val="auto"/>
          <w:sz w:val="32"/>
          <w:szCs w:val="32"/>
        </w:rPr>
        <w:t>，竞得人</w:t>
      </w:r>
      <w:r>
        <w:rPr>
          <w:rFonts w:hint="default" w:ascii="Times New Roman" w:hAnsi="Times New Roman" w:eastAsia="仿宋_GB2312" w:cs="Times New Roman"/>
          <w:b w:val="0"/>
          <w:bCs w:val="0"/>
          <w:color w:val="auto"/>
          <w:sz w:val="32"/>
          <w:szCs w:val="32"/>
          <w:shd w:val="clear" w:color="auto" w:fill="auto"/>
          <w:lang w:eastAsia="zh-CN"/>
        </w:rPr>
        <w:t>交</w:t>
      </w:r>
      <w:r>
        <w:rPr>
          <w:rFonts w:hint="default" w:ascii="Times New Roman" w:hAnsi="Times New Roman" w:eastAsia="仿宋_GB2312" w:cs="Times New Roman"/>
          <w:b w:val="0"/>
          <w:bCs w:val="0"/>
          <w:color w:val="auto"/>
          <w:sz w:val="32"/>
          <w:szCs w:val="32"/>
          <w:shd w:val="clear" w:color="auto" w:fill="auto"/>
        </w:rPr>
        <w:t>纳</w:t>
      </w:r>
      <w:r>
        <w:rPr>
          <w:rFonts w:hint="default" w:ascii="Times New Roman" w:hAnsi="Times New Roman" w:eastAsia="仿宋_GB2312" w:cs="Times New Roman"/>
          <w:b w:val="0"/>
          <w:bCs w:val="0"/>
          <w:color w:val="auto"/>
          <w:sz w:val="32"/>
          <w:szCs w:val="32"/>
        </w:rPr>
        <w:t>的竞买保证金按成交价的</w:t>
      </w:r>
      <w:r>
        <w:rPr>
          <w:rFonts w:hint="default" w:ascii="Times New Roman" w:hAnsi="Times New Roman" w:eastAsia="仿宋_GB2312" w:cs="Times New Roman"/>
          <w:b w:val="0"/>
          <w:bCs w:val="0"/>
          <w:color w:val="auto"/>
          <w:sz w:val="32"/>
          <w:szCs w:val="32"/>
          <w:u w:val="none"/>
          <w:lang w:val="en-US" w:eastAsia="zh-CN"/>
        </w:rPr>
        <w:t xml:space="preserve">10 </w:t>
      </w:r>
      <w:r>
        <w:rPr>
          <w:rFonts w:hint="default" w:ascii="Times New Roman" w:hAnsi="Times New Roman" w:eastAsia="仿宋_GB2312" w:cs="Times New Roman"/>
          <w:b w:val="0"/>
          <w:bCs w:val="0"/>
          <w:color w:val="auto"/>
          <w:sz w:val="32"/>
          <w:szCs w:val="32"/>
        </w:rPr>
        <w:t>%转作受让宗地的定金</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如竞买保证金不足以</w:t>
      </w:r>
      <w:r>
        <w:rPr>
          <w:rFonts w:hint="default" w:ascii="Times New Roman" w:hAnsi="Times New Roman" w:eastAsia="仿宋_GB2312" w:cs="Times New Roman"/>
          <w:b w:val="0"/>
          <w:bCs w:val="0"/>
          <w:color w:val="auto"/>
          <w:sz w:val="32"/>
          <w:szCs w:val="32"/>
          <w:lang w:eastAsia="zh-CN"/>
        </w:rPr>
        <w:t>交</w:t>
      </w:r>
      <w:r>
        <w:rPr>
          <w:rFonts w:hint="default" w:ascii="Times New Roman" w:hAnsi="Times New Roman" w:eastAsia="仿宋_GB2312" w:cs="Times New Roman"/>
          <w:b w:val="0"/>
          <w:bCs w:val="0"/>
          <w:color w:val="auto"/>
          <w:sz w:val="32"/>
          <w:szCs w:val="32"/>
        </w:rPr>
        <w:t>纳定金，不足部分在交易系统确定成交之日起5个工作日内补齐；如竞买保证金转作定金后有剩余，余额转作宗地成交价款，定金可抵作宗地成交价款。</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default" w:ascii="Times New Roman" w:hAnsi="Times New Roman" w:eastAsia="仿宋_GB2312" w:cs="Times New Roman"/>
          <w:color w:val="auto"/>
          <w:sz w:val="32"/>
          <w:szCs w:val="32"/>
          <w:highlight w:val="none"/>
          <w:lang w:val="en-US" w:eastAsia="zh-CN" w:bidi="ar-SA"/>
        </w:rPr>
      </w:pPr>
      <w:r>
        <w:rPr>
          <w:rFonts w:hint="default" w:ascii="Times New Roman" w:hAnsi="Times New Roman" w:eastAsia="仿宋_GB2312" w:cs="Times New Roman"/>
          <w:color w:val="auto"/>
          <w:sz w:val="32"/>
          <w:szCs w:val="32"/>
          <w:highlight w:val="none"/>
          <w:lang w:val="en-US" w:eastAsia="zh-CN" w:bidi="ar-SA"/>
        </w:rPr>
        <w:t>以外币缴交竞买保证金的，按</w:t>
      </w:r>
      <w:r>
        <w:rPr>
          <w:rFonts w:hint="default" w:ascii="Times New Roman" w:hAnsi="Times New Roman" w:eastAsia="仿宋_GB2312" w:cs="Times New Roman"/>
          <w:color w:val="auto"/>
          <w:kern w:val="2"/>
          <w:sz w:val="32"/>
          <w:szCs w:val="32"/>
        </w:rPr>
        <w:t>成交价的</w:t>
      </w:r>
      <w:r>
        <w:rPr>
          <w:rFonts w:hint="default" w:ascii="Times New Roman" w:hAnsi="Times New Roman" w:eastAsia="仿宋_GB2312" w:cs="Times New Roman"/>
          <w:color w:val="auto"/>
          <w:sz w:val="32"/>
          <w:szCs w:val="32"/>
          <w:highlight w:val="none"/>
          <w:lang w:val="en-US" w:eastAsia="zh-CN" w:bidi="ar-SA"/>
        </w:rPr>
        <w:t>10%部分转为定金，待签订《国有建设用地使用权出让合同》、按时缴清土地成交价款后，再将</w:t>
      </w:r>
      <w:r>
        <w:rPr>
          <w:rFonts w:hint="eastAsia" w:eastAsia="仿宋_GB2312" w:cs="Times New Roman"/>
          <w:color w:val="auto"/>
          <w:sz w:val="32"/>
          <w:szCs w:val="32"/>
          <w:highlight w:val="none"/>
          <w:lang w:val="en-US" w:eastAsia="zh-CN" w:bidi="ar-SA"/>
        </w:rPr>
        <w:t>定金和剩余保证金一并退还</w:t>
      </w:r>
      <w:r>
        <w:rPr>
          <w:rFonts w:hint="default" w:ascii="Times New Roman" w:hAnsi="Times New Roman" w:eastAsia="仿宋_GB2312" w:cs="Times New Roman"/>
          <w:color w:val="auto"/>
          <w:sz w:val="32"/>
          <w:szCs w:val="32"/>
          <w:highlight w:val="none"/>
          <w:lang w:val="en-US" w:eastAsia="zh-CN" w:bidi="ar-SA"/>
        </w:rPr>
        <w:t>，不计利息。</w:t>
      </w:r>
    </w:p>
    <w:p>
      <w:pPr>
        <w:pStyle w:val="3"/>
        <w:keepNext w:val="0"/>
        <w:keepLines w:val="0"/>
        <w:pageBreakBefore w:val="0"/>
        <w:kinsoku/>
        <w:wordWrap/>
        <w:overflowPunct/>
        <w:topLinePunct w:val="0"/>
        <w:autoSpaceDE/>
        <w:autoSpaceDN/>
        <w:bidi w:val="0"/>
        <w:adjustRightInd/>
        <w:snapToGrid/>
        <w:spacing w:line="240" w:lineRule="auto"/>
        <w:ind w:firstLine="64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未竞得人交纳的竞买保证金于电子挂牌交易活动结束之日起5个工作日内原路退还，不计利息。</w:t>
      </w:r>
    </w:p>
    <w:p>
      <w:pPr>
        <w:pStyle w:val="3"/>
        <w:keepNext w:val="0"/>
        <w:keepLines w:val="0"/>
        <w:pageBreakBefore w:val="0"/>
        <w:kinsoku/>
        <w:wordWrap/>
        <w:overflowPunct/>
        <w:topLinePunct w:val="0"/>
        <w:autoSpaceDE/>
        <w:autoSpaceDN/>
        <w:bidi w:val="0"/>
        <w:adjustRightInd/>
        <w:snapToGrid/>
        <w:spacing w:line="240" w:lineRule="auto"/>
        <w:ind w:firstLine="64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竞得人交纳的竞买保证金转付成交价款，竞得人应带齐如下相关资料到</w:t>
      </w:r>
      <w:r>
        <w:rPr>
          <w:rFonts w:hint="default" w:ascii="Times New Roman" w:hAnsi="Times New Roman" w:eastAsia="仿宋_GB2312" w:cs="Times New Roman"/>
          <w:b w:val="0"/>
          <w:bCs w:val="0"/>
          <w:color w:val="auto"/>
          <w:sz w:val="32"/>
          <w:szCs w:val="32"/>
          <w:lang w:val="en-US" w:eastAsia="zh-CN"/>
        </w:rPr>
        <w:t>市公共资源</w:t>
      </w:r>
      <w:r>
        <w:rPr>
          <w:rFonts w:hint="default" w:ascii="Times New Roman" w:hAnsi="Times New Roman" w:eastAsia="仿宋_GB2312" w:cs="Times New Roman"/>
          <w:b w:val="0"/>
          <w:bCs w:val="0"/>
          <w:color w:val="auto"/>
          <w:sz w:val="32"/>
          <w:szCs w:val="32"/>
        </w:rPr>
        <w:t>交易中心办理转付成交价款手续：</w:t>
      </w:r>
    </w:p>
    <w:p>
      <w:pPr>
        <w:pStyle w:val="3"/>
        <w:keepNext w:val="0"/>
        <w:keepLines w:val="0"/>
        <w:pageBreakBefore w:val="0"/>
        <w:numPr>
          <w:ilvl w:val="0"/>
          <w:numId w:val="5"/>
        </w:numPr>
        <w:kinsoku/>
        <w:wordWrap/>
        <w:overflowPunct/>
        <w:topLinePunct w:val="0"/>
        <w:autoSpaceDE/>
        <w:autoSpaceDN/>
        <w:bidi w:val="0"/>
        <w:adjustRightInd/>
        <w:snapToGrid/>
        <w:spacing w:line="240" w:lineRule="auto"/>
        <w:ind w:firstLine="64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我局开具的成交价款缴款单；</w:t>
      </w:r>
    </w:p>
    <w:p>
      <w:pPr>
        <w:pStyle w:val="3"/>
        <w:keepNext w:val="0"/>
        <w:keepLines w:val="0"/>
        <w:pageBreakBefore w:val="0"/>
        <w:numPr>
          <w:ilvl w:val="0"/>
          <w:numId w:val="5"/>
        </w:numPr>
        <w:kinsoku/>
        <w:wordWrap/>
        <w:overflowPunct/>
        <w:topLinePunct w:val="0"/>
        <w:autoSpaceDE/>
        <w:autoSpaceDN/>
        <w:bidi w:val="0"/>
        <w:adjustRightInd/>
        <w:snapToGrid/>
        <w:spacing w:line="240" w:lineRule="auto"/>
        <w:ind w:firstLine="64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银行端查询缴税凭证；</w:t>
      </w:r>
    </w:p>
    <w:p>
      <w:pPr>
        <w:pStyle w:val="3"/>
        <w:keepNext w:val="0"/>
        <w:keepLines w:val="0"/>
        <w:pageBreakBefore w:val="0"/>
        <w:numPr>
          <w:ilvl w:val="0"/>
          <w:numId w:val="0"/>
        </w:numPr>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lang w:val="en-US" w:eastAsia="zh-CN"/>
        </w:rPr>
        <w:t>三</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惠州市非税收入缴款通知</w:t>
      </w:r>
      <w:r>
        <w:rPr>
          <w:rFonts w:hint="default" w:ascii="Times New Roman" w:hAnsi="Times New Roman" w:eastAsia="仿宋_GB2312" w:cs="Times New Roman"/>
          <w:b w:val="0"/>
          <w:bCs w:val="0"/>
          <w:color w:val="auto"/>
          <w:sz w:val="32"/>
          <w:szCs w:val="32"/>
          <w:lang w:eastAsia="zh-CN"/>
        </w:rPr>
        <w:t>；</w:t>
      </w:r>
    </w:p>
    <w:p>
      <w:pPr>
        <w:pStyle w:val="3"/>
        <w:keepNext w:val="0"/>
        <w:keepLines w:val="0"/>
        <w:pageBreakBefore w:val="0"/>
        <w:numPr>
          <w:ilvl w:val="0"/>
          <w:numId w:val="0"/>
        </w:numPr>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lang w:val="en-US" w:eastAsia="zh-CN"/>
        </w:rPr>
        <w:t>四</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保证金到账通知书；</w:t>
      </w:r>
    </w:p>
    <w:p>
      <w:pPr>
        <w:pStyle w:val="3"/>
        <w:keepNext w:val="0"/>
        <w:keepLines w:val="0"/>
        <w:pageBreakBefore w:val="0"/>
        <w:numPr>
          <w:ilvl w:val="0"/>
          <w:numId w:val="0"/>
        </w:numPr>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lang w:val="en-US" w:eastAsia="zh-CN"/>
        </w:rPr>
        <w:t>五</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竞价结果通知书；</w:t>
      </w:r>
    </w:p>
    <w:p>
      <w:pPr>
        <w:pStyle w:val="3"/>
        <w:keepNext w:val="0"/>
        <w:keepLines w:val="0"/>
        <w:pageBreakBefore w:val="0"/>
        <w:numPr>
          <w:ilvl w:val="0"/>
          <w:numId w:val="0"/>
        </w:numPr>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lang w:val="en-US" w:eastAsia="zh-CN"/>
        </w:rPr>
        <w:t>六</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保证金转账凭证。</w:t>
      </w:r>
    </w:p>
    <w:p>
      <w:pPr>
        <w:pStyle w:val="3"/>
        <w:keepNext w:val="0"/>
        <w:keepLines w:val="0"/>
        <w:pageBreakBefore w:val="0"/>
        <w:kinsoku/>
        <w:wordWrap/>
        <w:overflowPunct/>
        <w:topLinePunct w:val="0"/>
        <w:autoSpaceDE/>
        <w:autoSpaceDN/>
        <w:bidi w:val="0"/>
        <w:adjustRightInd/>
        <w:snapToGrid/>
        <w:spacing w:line="240" w:lineRule="auto"/>
        <w:ind w:left="0" w:leftChars="0" w:firstLine="643" w:firstLineChars="200"/>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十</w:t>
      </w:r>
      <w:r>
        <w:rPr>
          <w:rFonts w:hint="default" w:ascii="Times New Roman" w:hAnsi="Times New Roman" w:eastAsia="仿宋_GB2312" w:cs="Times New Roman"/>
          <w:b/>
          <w:bCs/>
          <w:color w:val="auto"/>
          <w:sz w:val="32"/>
          <w:szCs w:val="32"/>
          <w:lang w:eastAsia="zh-CN"/>
        </w:rPr>
        <w:t>二</w:t>
      </w:r>
      <w:r>
        <w:rPr>
          <w:rFonts w:hint="default" w:ascii="Times New Roman" w:hAnsi="Times New Roman" w:eastAsia="仿宋_GB2312" w:cs="Times New Roman"/>
          <w:b/>
          <w:bCs/>
          <w:color w:val="auto"/>
          <w:sz w:val="32"/>
          <w:szCs w:val="32"/>
        </w:rPr>
        <w:t>、成交价款支付方式及期限</w:t>
      </w:r>
    </w:p>
    <w:p>
      <w:pPr>
        <w:keepNext w:val="0"/>
        <w:keepLines w:val="0"/>
        <w:pageBreakBefore w:val="0"/>
        <w:widowControl w:val="0"/>
        <w:kinsoku/>
        <w:wordWrap/>
        <w:overflowPunct/>
        <w:topLinePunct w:val="0"/>
        <w:autoSpaceDE/>
        <w:autoSpaceDN/>
        <w:bidi w:val="0"/>
        <w:adjustRightInd/>
        <w:snapToGrid/>
        <w:spacing w:line="240" w:lineRule="auto"/>
        <w:ind w:firstLine="555"/>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土地成交价款须以人民币支付,竞得人在签订出让合同之日起</w:t>
      </w:r>
      <w:r>
        <w:rPr>
          <w:rFonts w:hint="default" w:ascii="Times New Roman" w:hAnsi="Times New Roman" w:eastAsia="仿宋_GB2312" w:cs="Times New Roman"/>
          <w:color w:val="auto"/>
          <w:sz w:val="32"/>
          <w:szCs w:val="32"/>
          <w:highlight w:val="none"/>
          <w:u w:val="none"/>
          <w:lang w:val="en-US" w:eastAsia="zh-CN"/>
        </w:rPr>
        <w:t>30日</w:t>
      </w:r>
      <w:r>
        <w:rPr>
          <w:rFonts w:hint="default" w:ascii="Times New Roman" w:hAnsi="Times New Roman" w:eastAsia="仿宋_GB2312" w:cs="Times New Roman"/>
          <w:color w:val="auto"/>
          <w:sz w:val="32"/>
          <w:szCs w:val="32"/>
          <w:highlight w:val="none"/>
          <w:lang w:val="en-US" w:eastAsia="zh-CN"/>
        </w:rPr>
        <w:t>内一次性付清全部成交价款。</w:t>
      </w:r>
    </w:p>
    <w:p>
      <w:pPr>
        <w:keepNext w:val="0"/>
        <w:keepLines w:val="0"/>
        <w:pageBreakBefore w:val="0"/>
        <w:widowControl w:val="0"/>
        <w:kinsoku/>
        <w:wordWrap/>
        <w:overflowPunct/>
        <w:topLinePunct w:val="0"/>
        <w:autoSpaceDE/>
        <w:autoSpaceDN/>
        <w:bidi w:val="0"/>
        <w:adjustRightInd/>
        <w:snapToGrid/>
        <w:spacing w:line="240" w:lineRule="auto"/>
        <w:ind w:firstLine="555"/>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竞得人不能按时支付地价款的，自滞纳之日起，每日按迟延支付款项的1‰向出让人缴纳违约金，按合同约定延期付款超过60日的，土地出让人可以解除合同并无偿收回，已付定金归出让人，竞得人无权要求返还，出让人并可要求受让人赔偿损失。</w:t>
      </w:r>
    </w:p>
    <w:p>
      <w:pPr>
        <w:pStyle w:val="3"/>
        <w:keepNext w:val="0"/>
        <w:keepLines w:val="0"/>
        <w:pageBreakBefore w:val="0"/>
        <w:kinsoku/>
        <w:wordWrap/>
        <w:overflowPunct/>
        <w:topLinePunct w:val="0"/>
        <w:autoSpaceDE/>
        <w:autoSpaceDN/>
        <w:bidi w:val="0"/>
        <w:adjustRightInd/>
        <w:snapToGrid/>
        <w:spacing w:line="240" w:lineRule="auto"/>
        <w:ind w:left="0" w:leftChars="0" w:firstLine="643" w:firstLineChars="200"/>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十</w:t>
      </w:r>
      <w:r>
        <w:rPr>
          <w:rFonts w:hint="default" w:ascii="Times New Roman" w:hAnsi="Times New Roman" w:eastAsia="仿宋_GB2312" w:cs="Times New Roman"/>
          <w:b/>
          <w:bCs/>
          <w:color w:val="auto"/>
          <w:sz w:val="32"/>
          <w:szCs w:val="32"/>
          <w:lang w:eastAsia="zh-CN"/>
        </w:rPr>
        <w:t>三</w:t>
      </w:r>
      <w:r>
        <w:rPr>
          <w:rFonts w:hint="default" w:ascii="Times New Roman" w:hAnsi="Times New Roman" w:eastAsia="仿宋_GB2312" w:cs="Times New Roman"/>
          <w:b/>
          <w:bCs/>
          <w:color w:val="auto"/>
          <w:sz w:val="32"/>
          <w:szCs w:val="32"/>
        </w:rPr>
        <w:t>、违规责任</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成交候选人（或竞得人）有下列行为之一的，取消候选人资格（或竞得资格），竞价结果无效，竞买保证金不予退还,造成损失的，成交候选人（或竞得人）还应依法承担赔偿责任：</w:t>
      </w:r>
    </w:p>
    <w:p>
      <w:pPr>
        <w:keepNext w:val="0"/>
        <w:keepLines w:val="0"/>
        <w:pageBreakBefore w:val="0"/>
        <w:numPr>
          <w:ilvl w:val="0"/>
          <w:numId w:val="6"/>
        </w:numPr>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不符合竞买资格条件的；</w:t>
      </w:r>
    </w:p>
    <w:p>
      <w:pPr>
        <w:keepNext w:val="0"/>
        <w:keepLines w:val="0"/>
        <w:pageBreakBefore w:val="0"/>
        <w:numPr>
          <w:ilvl w:val="0"/>
          <w:numId w:val="6"/>
        </w:numPr>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提供虚假文件材料，隐瞒重要事实的；</w:t>
      </w:r>
    </w:p>
    <w:p>
      <w:pPr>
        <w:keepNext w:val="0"/>
        <w:keepLines w:val="0"/>
        <w:pageBreakBefore w:val="0"/>
        <w:numPr>
          <w:ilvl w:val="0"/>
          <w:numId w:val="6"/>
        </w:numPr>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采取行贿、恶意串通等非法手段竞得的；</w:t>
      </w:r>
    </w:p>
    <w:p>
      <w:pPr>
        <w:keepNext w:val="0"/>
        <w:keepLines w:val="0"/>
        <w:pageBreakBefore w:val="0"/>
        <w:numPr>
          <w:ilvl w:val="0"/>
          <w:numId w:val="6"/>
        </w:numPr>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无正当理由逾期或拒绝签订成交确认书的；</w:t>
      </w:r>
    </w:p>
    <w:p>
      <w:pPr>
        <w:keepNext w:val="0"/>
        <w:keepLines w:val="0"/>
        <w:pageBreakBefore w:val="0"/>
        <w:numPr>
          <w:ilvl w:val="0"/>
          <w:numId w:val="6"/>
        </w:numPr>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无正当理由逾期或拒绝签订</w:t>
      </w:r>
      <w:r>
        <w:rPr>
          <w:rFonts w:hint="default" w:ascii="Times New Roman" w:hAnsi="Times New Roman" w:eastAsia="仿宋_GB2312" w:cs="Times New Roman"/>
          <w:b w:val="0"/>
          <w:bCs w:val="0"/>
          <w:color w:val="auto"/>
          <w:sz w:val="32"/>
          <w:szCs w:val="32"/>
          <w:lang w:val="en-US" w:eastAsia="zh-CN"/>
        </w:rPr>
        <w:t>《出让合同》</w:t>
      </w:r>
      <w:r>
        <w:rPr>
          <w:rFonts w:hint="default" w:ascii="Times New Roman" w:hAnsi="Times New Roman" w:eastAsia="仿宋_GB2312" w:cs="Times New Roman"/>
          <w:b w:val="0"/>
          <w:bCs w:val="0"/>
          <w:color w:val="auto"/>
          <w:sz w:val="32"/>
          <w:szCs w:val="32"/>
        </w:rPr>
        <w:t>的。</w:t>
      </w:r>
    </w:p>
    <w:p>
      <w:pPr>
        <w:pStyle w:val="3"/>
        <w:keepNext w:val="0"/>
        <w:keepLines w:val="0"/>
        <w:pageBreakBefore w:val="0"/>
        <w:kinsoku/>
        <w:wordWrap/>
        <w:overflowPunct/>
        <w:topLinePunct w:val="0"/>
        <w:autoSpaceDE/>
        <w:autoSpaceDN/>
        <w:bidi w:val="0"/>
        <w:adjustRightInd/>
        <w:snapToGrid/>
        <w:spacing w:line="240" w:lineRule="auto"/>
        <w:ind w:left="0" w:leftChars="0" w:firstLine="643" w:firstLineChars="200"/>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十</w:t>
      </w:r>
      <w:r>
        <w:rPr>
          <w:rFonts w:hint="default" w:ascii="Times New Roman" w:hAnsi="Times New Roman" w:eastAsia="仿宋_GB2312" w:cs="Times New Roman"/>
          <w:b/>
          <w:bCs/>
          <w:color w:val="auto"/>
          <w:sz w:val="32"/>
          <w:szCs w:val="32"/>
          <w:lang w:eastAsia="zh-CN"/>
        </w:rPr>
        <w:t>四</w:t>
      </w:r>
      <w:r>
        <w:rPr>
          <w:rFonts w:hint="default" w:ascii="Times New Roman" w:hAnsi="Times New Roman" w:eastAsia="仿宋_GB2312" w:cs="Times New Roman"/>
          <w:b/>
          <w:bCs/>
          <w:color w:val="auto"/>
          <w:sz w:val="32"/>
          <w:szCs w:val="32"/>
        </w:rPr>
        <w:t>、其他需要公告的事项</w:t>
      </w:r>
    </w:p>
    <w:p>
      <w:pPr>
        <w:keepNext w:val="0"/>
        <w:keepLines w:val="0"/>
        <w:pageBreakBefore w:val="0"/>
        <w:kinsoku/>
        <w:wordWrap/>
        <w:overflowPunct/>
        <w:topLinePunct w:val="0"/>
        <w:autoSpaceDE/>
        <w:autoSpaceDN/>
        <w:bidi w:val="0"/>
        <w:adjustRightInd/>
        <w:snapToGrid/>
        <w:spacing w:line="240" w:lineRule="auto"/>
        <w:ind w:firstLine="555"/>
        <w:jc w:val="both"/>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（一）本宗地网上挂牌出让的详细资料和具体要求，见</w:t>
      </w:r>
      <w:r>
        <w:rPr>
          <w:rFonts w:hint="default" w:ascii="Times New Roman" w:hAnsi="Times New Roman" w:eastAsia="仿宋_GB2312" w:cs="Times New Roman"/>
          <w:b w:val="0"/>
          <w:bCs w:val="0"/>
          <w:color w:val="auto"/>
          <w:sz w:val="32"/>
          <w:szCs w:val="32"/>
          <w:lang w:val="en-US" w:eastAsia="zh-CN"/>
        </w:rPr>
        <w:t>市公共资源</w:t>
      </w:r>
      <w:r>
        <w:rPr>
          <w:rFonts w:hint="default" w:ascii="Times New Roman" w:hAnsi="Times New Roman" w:eastAsia="仿宋_GB2312" w:cs="Times New Roman"/>
          <w:b w:val="0"/>
          <w:bCs w:val="0"/>
          <w:color w:val="auto"/>
          <w:sz w:val="32"/>
          <w:szCs w:val="32"/>
        </w:rPr>
        <w:t>交易中心网上挂牌交易系统https://www.hzgtjy.com/。申请人可在网上挂牌交易系统下载挂牌出让公告、须知及相关交易文件。</w:t>
      </w:r>
    </w:p>
    <w:p>
      <w:pPr>
        <w:pStyle w:val="3"/>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（二）有意竞买者可以自行到地块现场踏勘（可在网上挂牌交易系统查阅位置图和现状图）。</w:t>
      </w:r>
    </w:p>
    <w:p>
      <w:pPr>
        <w:pStyle w:val="3"/>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（三）竞买申请一经受理确认后，即视为竞买人对网上挂牌出让公告、须知、相关交易文件及地块现状无异议并全部接受，并对有关承诺承担法律责任。</w:t>
      </w:r>
    </w:p>
    <w:p>
      <w:pPr>
        <w:pStyle w:val="3"/>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（四）地块动工竣工时间及地块交付时间</w:t>
      </w:r>
    </w:p>
    <w:p>
      <w:pPr>
        <w:pStyle w:val="3"/>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1、地块动工时间为地块交付之日起一年内，竣工时间为动工之日起三年内（因不可抗拒因素除外）；</w:t>
      </w:r>
    </w:p>
    <w:p>
      <w:pPr>
        <w:pStyle w:val="3"/>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2、竞得人在付清地价款后一个月内办理交地手续，凭《交地确认书》、《出让合同》（正本）和地价款交款凭证等申请办理土地初始登记，领取《不动产权证书》。</w:t>
      </w:r>
    </w:p>
    <w:p>
      <w:pPr>
        <w:pStyle w:val="3"/>
        <w:keepNext w:val="0"/>
        <w:keepLines w:val="0"/>
        <w:pageBreakBefore w:val="0"/>
        <w:kinsoku/>
        <w:wordWrap/>
        <w:overflowPunct/>
        <w:topLinePunct w:val="0"/>
        <w:autoSpaceDE/>
        <w:autoSpaceDN/>
        <w:bidi w:val="0"/>
        <w:adjustRightInd/>
        <w:snapToGrid/>
        <w:spacing w:line="240" w:lineRule="auto"/>
        <w:ind w:left="0" w:leftChars="0"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（五）土地开发及使用规定</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rPr>
        <w:t>1</w:t>
      </w:r>
      <w:r>
        <w:rPr>
          <w:rFonts w:hint="eastAsia"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开发投资总额不少于</w:t>
      </w:r>
      <w:r>
        <w:rPr>
          <w:rFonts w:hint="default" w:ascii="Times New Roman" w:hAnsi="Times New Roman" w:eastAsia="仿宋_GB2312" w:cs="Times New Roman"/>
          <w:color w:val="auto"/>
          <w:kern w:val="2"/>
          <w:sz w:val="32"/>
          <w:szCs w:val="32"/>
          <w:lang w:val="en-US" w:eastAsia="zh-CN"/>
        </w:rPr>
        <w:t>7100</w:t>
      </w:r>
      <w:r>
        <w:rPr>
          <w:rFonts w:hint="default" w:ascii="Times New Roman" w:hAnsi="Times New Roman" w:eastAsia="仿宋_GB2312" w:cs="Times New Roman"/>
          <w:b w:val="0"/>
          <w:bCs w:val="0"/>
          <w:color w:val="auto"/>
          <w:sz w:val="32"/>
          <w:szCs w:val="32"/>
        </w:rPr>
        <w:t>万元</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lang w:val="en-US" w:eastAsia="zh-CN"/>
        </w:rPr>
        <w:t>含地价，不含地价溢价部分</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lang w:val="en-US" w:eastAsia="zh-CN"/>
        </w:rPr>
        <w:t>;</w:t>
      </w:r>
    </w:p>
    <w:p>
      <w:pPr>
        <w:keepNext w:val="0"/>
        <w:keepLines w:val="0"/>
        <w:pageBreakBefore w:val="0"/>
        <w:kinsoku/>
        <w:wordWrap/>
        <w:overflowPunct/>
        <w:topLinePunct w:val="0"/>
        <w:autoSpaceDE/>
        <w:autoSpaceDN/>
        <w:bidi w:val="0"/>
        <w:adjustRightInd/>
        <w:snapToGrid/>
        <w:spacing w:line="240" w:lineRule="auto"/>
        <w:ind w:firstLine="627" w:firstLineChars="196"/>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rPr>
        <w:t>2</w:t>
      </w:r>
      <w:r>
        <w:rPr>
          <w:rFonts w:hint="eastAsia"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竞得人在用地红线内开发建设必须符合城市规划要求，必须按《建设用地规划设计条件》（案卷编号：PB20210042）规划控制指标要求及《关于小金口汤村片区TC03-01-01-01地块规划设计条件的补充函》进行规划设计</w:t>
      </w:r>
      <w:r>
        <w:rPr>
          <w:rFonts w:hint="default" w:ascii="Times New Roman" w:hAnsi="Times New Roman" w:eastAsia="仿宋_GB2312" w:cs="Times New Roman"/>
          <w:b w:val="0"/>
          <w:bCs w:val="0"/>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627" w:firstLineChars="196"/>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3</w:t>
      </w:r>
      <w:r>
        <w:rPr>
          <w:rFonts w:hint="eastAsia"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竞得人须按</w:t>
      </w:r>
      <w:r>
        <w:rPr>
          <w:rFonts w:hint="default" w:ascii="Times New Roman" w:hAnsi="Times New Roman" w:eastAsia="仿宋_GB2312" w:cs="Times New Roman"/>
          <w:color w:val="auto"/>
          <w:sz w:val="32"/>
          <w:szCs w:val="32"/>
          <w:lang w:val="en-US" w:eastAsia="zh-CN"/>
        </w:rPr>
        <w:t>《建设用地规划设计条件》（PB20210042）以及《关于小金口汤村片区TC03-01-01-01地块规划设计条件的补充函》的规划要求配建相关的配套设施</w:t>
      </w:r>
      <w:r>
        <w:rPr>
          <w:rFonts w:hint="default" w:ascii="Times New Roman" w:hAnsi="Times New Roman" w:eastAsia="仿宋_GB2312" w:cs="Times New Roman"/>
          <w:b w:val="0"/>
          <w:bCs w:val="0"/>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627" w:firstLineChars="196"/>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4</w:t>
      </w:r>
      <w:r>
        <w:rPr>
          <w:rFonts w:hint="eastAsia"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其他要求：</w:t>
      </w:r>
    </w:p>
    <w:p>
      <w:pPr>
        <w:keepNext w:val="0"/>
        <w:keepLines w:val="0"/>
        <w:pageBreakBefore w:val="0"/>
        <w:kinsoku/>
        <w:wordWrap/>
        <w:overflowPunct/>
        <w:topLinePunct w:val="0"/>
        <w:autoSpaceDE/>
        <w:autoSpaceDN/>
        <w:bidi w:val="0"/>
        <w:adjustRightInd/>
        <w:snapToGrid/>
        <w:spacing w:line="240" w:lineRule="auto"/>
        <w:ind w:firstLine="627" w:firstLineChars="196"/>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（1）该地权利清晰，安置补偿落实到位，没有法律经济纠纷，具备动工开发所必须的基本条件。</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highlight w:val="none"/>
          <w:lang w:val="en-US" w:eastAsia="zh-CN" w:bidi="ar-SA"/>
        </w:rPr>
        <w:t>取得停车场建设权的单位应按照</w:t>
      </w:r>
      <w:r>
        <w:rPr>
          <w:rFonts w:hint="default" w:ascii="Times New Roman" w:hAnsi="Times New Roman" w:eastAsia="仿宋_GB2312" w:cs="Times New Roman"/>
          <w:b w:val="0"/>
          <w:bCs w:val="0"/>
          <w:color w:val="auto"/>
          <w:sz w:val="32"/>
          <w:szCs w:val="32"/>
        </w:rPr>
        <w:t>《建设用地规划设计条件》（案卷编号：PB20210042）规划控制指标要求及《关于小金口汤村片区TC03-01-01-01地块规划设计条件的补充函》</w:t>
      </w:r>
      <w:r>
        <w:rPr>
          <w:rFonts w:hint="default" w:ascii="Times New Roman" w:hAnsi="Times New Roman" w:eastAsia="仿宋_GB2312" w:cs="Times New Roman"/>
          <w:color w:val="auto"/>
          <w:sz w:val="32"/>
          <w:szCs w:val="32"/>
          <w:highlight w:val="none"/>
          <w:lang w:val="en-US" w:eastAsia="zh-CN" w:bidi="ar-SA"/>
        </w:rPr>
        <w:t>的规划要求进行建设。</w:t>
      </w:r>
    </w:p>
    <w:p>
      <w:pPr>
        <w:keepNext w:val="0"/>
        <w:keepLines w:val="0"/>
        <w:pageBreakBefore w:val="0"/>
        <w:numPr>
          <w:ilvl w:val="0"/>
          <w:numId w:val="6"/>
        </w:numPr>
        <w:kinsoku/>
        <w:wordWrap/>
        <w:overflowPunct/>
        <w:topLinePunct w:val="0"/>
        <w:autoSpaceDE/>
        <w:autoSpaceDN/>
        <w:bidi w:val="0"/>
        <w:adjustRightInd/>
        <w:snapToGrid/>
        <w:spacing w:line="240" w:lineRule="auto"/>
        <w:ind w:left="0" w:leftChars="0"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该宗地交易全程适用</w:t>
      </w:r>
      <w:r>
        <w:rPr>
          <w:rFonts w:hint="default" w:ascii="Times New Roman" w:hAnsi="Times New Roman" w:eastAsia="仿宋_GB2312" w:cs="Times New Roman"/>
          <w:b w:val="0"/>
          <w:bCs w:val="0"/>
          <w:color w:val="auto"/>
          <w:sz w:val="32"/>
          <w:szCs w:val="32"/>
        </w:rPr>
        <w:t>《惠州市政务服务数据管理局</w:t>
      </w:r>
      <w:r>
        <w:rPr>
          <w:rFonts w:hint="default" w:ascii="Times New Roman" w:hAnsi="Times New Roman" w:eastAsia="仿宋_GB2312" w:cs="Times New Roman"/>
          <w:b w:val="0"/>
          <w:bCs w:val="0"/>
          <w:color w:val="auto"/>
          <w:sz w:val="32"/>
          <w:szCs w:val="32"/>
          <w:lang w:val="en-US" w:eastAsia="zh-CN"/>
        </w:rPr>
        <w:t xml:space="preserve"> </w:t>
      </w:r>
      <w:r>
        <w:rPr>
          <w:rFonts w:hint="default" w:ascii="Times New Roman" w:hAnsi="Times New Roman" w:eastAsia="仿宋_GB2312" w:cs="Times New Roman"/>
          <w:b w:val="0"/>
          <w:bCs w:val="0"/>
          <w:color w:val="auto"/>
          <w:sz w:val="32"/>
          <w:szCs w:val="32"/>
        </w:rPr>
        <w:t>惠州市公共资源交易中心公共资源电子交易规则》</w:t>
      </w:r>
      <w:r>
        <w:rPr>
          <w:rFonts w:hint="default" w:ascii="Times New Roman" w:hAnsi="Times New Roman" w:eastAsia="仿宋_GB2312" w:cs="Times New Roman"/>
          <w:b w:val="0"/>
          <w:bCs w:val="0"/>
          <w:color w:val="auto"/>
          <w:sz w:val="32"/>
          <w:szCs w:val="32"/>
          <w:lang w:val="en-US" w:eastAsia="zh-CN"/>
        </w:rPr>
        <w:t>（惠市政数〔2022〕3号）。</w:t>
      </w:r>
    </w:p>
    <w:p>
      <w:pPr>
        <w:keepNext w:val="0"/>
        <w:keepLines w:val="0"/>
        <w:pageBreakBefore w:val="0"/>
        <w:numPr>
          <w:ilvl w:val="0"/>
          <w:numId w:val="0"/>
        </w:numPr>
        <w:kinsoku/>
        <w:wordWrap/>
        <w:overflowPunct/>
        <w:topLinePunct w:val="0"/>
        <w:autoSpaceDE/>
        <w:autoSpaceDN/>
        <w:bidi w:val="0"/>
        <w:adjustRightInd/>
        <w:snapToGrid/>
        <w:spacing w:line="240" w:lineRule="auto"/>
        <w:ind w:firstLine="643" w:firstLineChars="200"/>
        <w:textAlignment w:val="auto"/>
        <w:rPr>
          <w:rFonts w:hint="default" w:ascii="Times New Roman" w:hAnsi="Times New Roman" w:eastAsia="仿宋_GB2312" w:cs="Times New Roman"/>
          <w:b/>
          <w:bCs/>
          <w:color w:val="auto"/>
          <w:sz w:val="32"/>
          <w:szCs w:val="32"/>
        </w:rPr>
      </w:pPr>
      <w:r>
        <w:rPr>
          <w:rFonts w:hint="eastAsia" w:eastAsia="仿宋_GB2312" w:cs="Times New Roman"/>
          <w:b/>
          <w:bCs/>
          <w:color w:val="auto"/>
          <w:sz w:val="32"/>
          <w:szCs w:val="32"/>
          <w:lang w:eastAsia="zh-CN"/>
        </w:rPr>
        <w:t>十五、</w:t>
      </w:r>
      <w:r>
        <w:rPr>
          <w:rFonts w:hint="default" w:ascii="Times New Roman" w:hAnsi="Times New Roman" w:eastAsia="仿宋_GB2312" w:cs="Times New Roman"/>
          <w:b/>
          <w:bCs/>
          <w:color w:val="auto"/>
          <w:sz w:val="32"/>
          <w:szCs w:val="32"/>
        </w:rPr>
        <w:t>联系方式：</w:t>
      </w:r>
    </w:p>
    <w:p>
      <w:pPr>
        <w:keepNext w:val="0"/>
        <w:keepLines w:val="0"/>
        <w:pageBreakBefore w:val="0"/>
        <w:kinsoku/>
        <w:wordWrap/>
        <w:overflowPunct/>
        <w:topLinePunct w:val="0"/>
        <w:autoSpaceDE/>
        <w:autoSpaceDN/>
        <w:bidi w:val="0"/>
        <w:adjustRightInd/>
        <w:snapToGrid/>
        <w:spacing w:line="240" w:lineRule="auto"/>
        <w:ind w:right="640" w:firstLine="640" w:firstLineChars="200"/>
        <w:textAlignment w:val="auto"/>
        <w:rPr>
          <w:rFonts w:hint="default" w:ascii="Times New Roman" w:hAnsi="Times New Roman" w:eastAsia="仿宋_GB2312" w:cs="Times New Roman"/>
          <w:b w:val="0"/>
          <w:bCs w:val="0"/>
          <w:color w:val="auto"/>
          <w:sz w:val="32"/>
          <w:szCs w:val="32"/>
          <w:u w:val="single"/>
          <w:lang w:val="en-US" w:eastAsia="zh-CN"/>
        </w:rPr>
      </w:pPr>
      <w:r>
        <w:rPr>
          <w:rFonts w:hint="default" w:ascii="Times New Roman" w:hAnsi="Times New Roman" w:eastAsia="仿宋_GB2312" w:cs="Times New Roman"/>
          <w:b w:val="0"/>
          <w:bCs w:val="0"/>
          <w:color w:val="auto"/>
          <w:sz w:val="32"/>
          <w:szCs w:val="32"/>
        </w:rPr>
        <w:t>出让方：</w:t>
      </w:r>
      <w:r>
        <w:rPr>
          <w:rFonts w:hint="default" w:ascii="Times New Roman" w:hAnsi="Times New Roman" w:eastAsia="仿宋_GB2312" w:cs="Times New Roman"/>
          <w:b w:val="0"/>
          <w:bCs w:val="0"/>
          <w:color w:val="auto"/>
          <w:sz w:val="32"/>
          <w:szCs w:val="32"/>
          <w:lang w:val="en-US" w:eastAsia="zh-CN"/>
        </w:rPr>
        <w:t>惠州市自然资源局</w:t>
      </w:r>
    </w:p>
    <w:p>
      <w:pPr>
        <w:keepNext w:val="0"/>
        <w:keepLines w:val="0"/>
        <w:pageBreakBefore w:val="0"/>
        <w:kinsoku/>
        <w:wordWrap/>
        <w:overflowPunct/>
        <w:topLinePunct w:val="0"/>
        <w:autoSpaceDE/>
        <w:autoSpaceDN/>
        <w:bidi w:val="0"/>
        <w:adjustRightInd/>
        <w:snapToGrid/>
        <w:spacing w:line="240" w:lineRule="auto"/>
        <w:ind w:right="640" w:firstLine="640" w:firstLineChars="200"/>
        <w:textAlignment w:val="auto"/>
        <w:rPr>
          <w:rFonts w:hint="default" w:ascii="Times New Roman" w:hAnsi="Times New Roman" w:eastAsia="仿宋_GB2312" w:cs="Times New Roman"/>
          <w:b w:val="0"/>
          <w:bCs w:val="0"/>
          <w:color w:val="auto"/>
          <w:sz w:val="32"/>
          <w:szCs w:val="32"/>
          <w:u w:val="single"/>
          <w:lang w:val="en-US" w:eastAsia="zh-CN"/>
        </w:rPr>
      </w:pPr>
      <w:r>
        <w:rPr>
          <w:rFonts w:hint="default" w:ascii="Times New Roman" w:hAnsi="Times New Roman" w:eastAsia="仿宋_GB2312" w:cs="Times New Roman"/>
          <w:b w:val="0"/>
          <w:bCs w:val="0"/>
          <w:color w:val="auto"/>
          <w:sz w:val="32"/>
          <w:szCs w:val="32"/>
        </w:rPr>
        <w:t>联系地址：广东省惠州市惠城区三新</w:t>
      </w:r>
      <w:r>
        <w:rPr>
          <w:rFonts w:hint="default" w:ascii="Times New Roman" w:hAnsi="Times New Roman" w:eastAsia="仿宋_GB2312" w:cs="Times New Roman"/>
          <w:b w:val="0"/>
          <w:bCs w:val="0"/>
          <w:color w:val="auto"/>
          <w:sz w:val="32"/>
          <w:szCs w:val="32"/>
          <w:lang w:val="en-US" w:eastAsia="zh-CN"/>
        </w:rPr>
        <w:t>南路7号</w:t>
      </w:r>
    </w:p>
    <w:p>
      <w:pPr>
        <w:keepNext w:val="0"/>
        <w:keepLines w:val="0"/>
        <w:pageBreakBefore w:val="0"/>
        <w:kinsoku/>
        <w:wordWrap/>
        <w:overflowPunct/>
        <w:topLinePunct w:val="0"/>
        <w:autoSpaceDE/>
        <w:autoSpaceDN/>
        <w:bidi w:val="0"/>
        <w:adjustRightInd/>
        <w:snapToGrid/>
        <w:spacing w:line="240" w:lineRule="auto"/>
        <w:ind w:right="640" w:firstLine="640" w:firstLineChars="200"/>
        <w:textAlignment w:val="auto"/>
        <w:rPr>
          <w:rFonts w:hint="default" w:ascii="Times New Roman" w:hAnsi="Times New Roman" w:eastAsia="仿宋_GB2312" w:cs="Times New Roman"/>
          <w:b w:val="0"/>
          <w:bCs w:val="0"/>
          <w:color w:val="auto"/>
          <w:sz w:val="32"/>
          <w:szCs w:val="32"/>
          <w:u w:val="single"/>
          <w:lang w:val="en-US" w:eastAsia="zh-CN"/>
        </w:rPr>
      </w:pPr>
      <w:r>
        <w:rPr>
          <w:rFonts w:hint="default" w:ascii="Times New Roman" w:hAnsi="Times New Roman" w:eastAsia="仿宋_GB2312" w:cs="Times New Roman"/>
          <w:b w:val="0"/>
          <w:bCs w:val="0"/>
          <w:color w:val="auto"/>
          <w:sz w:val="32"/>
          <w:szCs w:val="32"/>
        </w:rPr>
        <w:t>联系人：</w:t>
      </w:r>
      <w:r>
        <w:rPr>
          <w:rFonts w:hint="default" w:ascii="Times New Roman" w:hAnsi="Times New Roman" w:eastAsia="仿宋_GB2312" w:cs="Times New Roman"/>
          <w:b w:val="0"/>
          <w:bCs w:val="0"/>
          <w:color w:val="auto"/>
          <w:sz w:val="32"/>
          <w:szCs w:val="32"/>
          <w:lang w:val="en-US" w:eastAsia="zh-CN"/>
        </w:rPr>
        <w:t>王小姐</w:t>
      </w:r>
    </w:p>
    <w:p>
      <w:pPr>
        <w:keepNext w:val="0"/>
        <w:keepLines w:val="0"/>
        <w:pageBreakBefore w:val="0"/>
        <w:kinsoku/>
        <w:wordWrap/>
        <w:overflowPunct/>
        <w:topLinePunct w:val="0"/>
        <w:autoSpaceDE/>
        <w:autoSpaceDN/>
        <w:bidi w:val="0"/>
        <w:adjustRightInd/>
        <w:snapToGrid/>
        <w:spacing w:line="240" w:lineRule="auto"/>
        <w:ind w:right="640"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rPr>
        <w:t>联系电话：</w:t>
      </w:r>
      <w:r>
        <w:rPr>
          <w:rFonts w:hint="default" w:ascii="Times New Roman" w:hAnsi="Times New Roman" w:eastAsia="仿宋_GB2312" w:cs="Times New Roman"/>
          <w:b w:val="0"/>
          <w:bCs w:val="0"/>
          <w:color w:val="auto"/>
          <w:sz w:val="32"/>
          <w:szCs w:val="32"/>
          <w:lang w:val="en-US" w:eastAsia="zh-CN"/>
        </w:rPr>
        <w:t>0752-2896313</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交易机构：惠州市公共资源交易中心</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联系地址：广东省惠州市惠城区三新北路31号市民服务中心3号楼</w:t>
      </w:r>
    </w:p>
    <w:p>
      <w:pPr>
        <w:keepNext w:val="0"/>
        <w:keepLines w:val="0"/>
        <w:pageBreakBefore w:val="0"/>
        <w:kinsoku/>
        <w:wordWrap/>
        <w:overflowPunct/>
        <w:topLinePunct w:val="0"/>
        <w:autoSpaceDE/>
        <w:autoSpaceDN/>
        <w:bidi w:val="0"/>
        <w:adjustRightInd/>
        <w:snapToGrid/>
        <w:spacing w:line="240" w:lineRule="auto"/>
        <w:ind w:right="640" w:firstLine="640" w:firstLineChars="200"/>
        <w:textAlignment w:val="auto"/>
        <w:rPr>
          <w:rFonts w:hint="default" w:ascii="Times New Roman" w:hAnsi="Times New Roman" w:eastAsia="仿宋_GB2312" w:cs="Times New Roman"/>
          <w:b w:val="0"/>
          <w:bCs w:val="0"/>
          <w:color w:val="auto"/>
          <w:sz w:val="32"/>
          <w:szCs w:val="32"/>
          <w:u w:val="single"/>
          <w:lang w:val="en-US" w:eastAsia="zh-CN"/>
        </w:rPr>
      </w:pPr>
      <w:r>
        <w:rPr>
          <w:rFonts w:hint="default" w:ascii="Times New Roman" w:hAnsi="Times New Roman" w:eastAsia="仿宋_GB2312" w:cs="Times New Roman"/>
          <w:b w:val="0"/>
          <w:bCs w:val="0"/>
          <w:color w:val="auto"/>
          <w:sz w:val="32"/>
          <w:szCs w:val="32"/>
        </w:rPr>
        <w:t>联系人</w:t>
      </w:r>
      <w:r>
        <w:rPr>
          <w:rFonts w:hint="default" w:ascii="Times New Roman" w:hAnsi="Times New Roman" w:eastAsia="仿宋_GB2312" w:cs="Times New Roman"/>
          <w:b w:val="0"/>
          <w:bCs w:val="0"/>
          <w:color w:val="auto"/>
          <w:sz w:val="32"/>
          <w:szCs w:val="32"/>
          <w:lang w:eastAsia="zh-CN"/>
        </w:rPr>
        <w:t>：袁工、白工</w:t>
      </w:r>
    </w:p>
    <w:p>
      <w:pPr>
        <w:keepNext w:val="0"/>
        <w:keepLines w:val="0"/>
        <w:pageBreakBefore w:val="0"/>
        <w:kinsoku/>
        <w:wordWrap/>
        <w:overflowPunct/>
        <w:topLinePunct w:val="0"/>
        <w:autoSpaceDE/>
        <w:autoSpaceDN/>
        <w:bidi w:val="0"/>
        <w:adjustRightInd/>
        <w:snapToGrid/>
        <w:spacing w:line="240" w:lineRule="auto"/>
        <w:ind w:right="640" w:firstLine="640" w:firstLineChars="200"/>
        <w:textAlignment w:val="auto"/>
        <w:rPr>
          <w:rFonts w:hint="default" w:ascii="Times New Roman" w:hAnsi="Times New Roman" w:eastAsia="仿宋_GB2312" w:cs="Times New Roman"/>
          <w:b w:val="0"/>
          <w:bCs w:val="0"/>
          <w:color w:val="auto"/>
          <w:sz w:val="32"/>
          <w:szCs w:val="32"/>
          <w:u w:val="single"/>
          <w:lang w:val="en-US" w:eastAsia="zh-CN"/>
        </w:rPr>
      </w:pPr>
      <w:r>
        <w:rPr>
          <w:rFonts w:hint="default" w:ascii="Times New Roman" w:hAnsi="Times New Roman" w:eastAsia="仿宋_GB2312" w:cs="Times New Roman"/>
          <w:b w:val="0"/>
          <w:bCs w:val="0"/>
          <w:color w:val="auto"/>
          <w:sz w:val="32"/>
          <w:szCs w:val="32"/>
        </w:rPr>
        <w:t>联系电话：</w:t>
      </w:r>
      <w:r>
        <w:rPr>
          <w:rFonts w:hint="default" w:ascii="Times New Roman" w:hAnsi="Times New Roman" w:eastAsia="仿宋_GB2312" w:cs="Times New Roman"/>
          <w:b w:val="0"/>
          <w:bCs w:val="0"/>
          <w:color w:val="auto"/>
          <w:sz w:val="32"/>
          <w:szCs w:val="32"/>
          <w:lang w:val="en-US" w:eastAsia="zh-CN"/>
        </w:rPr>
        <w:t>0752-7121026、0752-7121036</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注：本公告同时在下列网站及场所发布</w:t>
      </w:r>
    </w:p>
    <w:p>
      <w:pPr>
        <w:keepNext w:val="0"/>
        <w:keepLines w:val="0"/>
        <w:pageBreakBefore w:val="0"/>
        <w:kinsoku/>
        <w:wordWrap/>
        <w:overflowPunct/>
        <w:topLinePunct w:val="0"/>
        <w:autoSpaceDE/>
        <w:autoSpaceDN/>
        <w:bidi w:val="0"/>
        <w:adjustRightInd/>
        <w:snapToGrid/>
        <w:spacing w:line="240" w:lineRule="auto"/>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val="0"/>
          <w:bCs w:val="0"/>
          <w:color w:val="auto"/>
          <w:sz w:val="32"/>
          <w:szCs w:val="32"/>
        </w:rPr>
        <w:t>中国土地市场网:</w:t>
      </w:r>
      <w:r>
        <w:rPr>
          <w:rFonts w:hint="default" w:ascii="Times New Roman" w:hAnsi="Times New Roman" w:eastAsia="仿宋_GB2312" w:cs="Times New Roman"/>
          <w:color w:val="auto"/>
          <w:sz w:val="32"/>
          <w:szCs w:val="32"/>
          <w:highlight w:val="none"/>
        </w:rPr>
        <w:t xml:space="preserve"> http://www.landchina.com</w:t>
      </w:r>
    </w:p>
    <w:p>
      <w:pPr>
        <w:keepNext w:val="0"/>
        <w:keepLines w:val="0"/>
        <w:pageBreakBefore w:val="0"/>
        <w:kinsoku/>
        <w:wordWrap/>
        <w:overflowPunct/>
        <w:topLinePunct w:val="0"/>
        <w:autoSpaceDE/>
        <w:autoSpaceDN/>
        <w:bidi w:val="0"/>
        <w:adjustRightInd/>
        <w:snapToGrid/>
        <w:spacing w:line="240" w:lineRule="auto"/>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惠州市自然资源局网站：http://land.huizhou.gov.cn</w:t>
      </w:r>
    </w:p>
    <w:p>
      <w:pPr>
        <w:keepNext w:val="0"/>
        <w:keepLines w:val="0"/>
        <w:pageBreakBefore w:val="0"/>
        <w:kinsoku/>
        <w:wordWrap/>
        <w:overflowPunct/>
        <w:topLinePunct w:val="0"/>
        <w:autoSpaceDE/>
        <w:autoSpaceDN/>
        <w:bidi w:val="0"/>
        <w:adjustRightInd/>
        <w:snapToGrid/>
        <w:spacing w:line="240" w:lineRule="auto"/>
        <w:ind w:firstLine="640" w:firstLineChars="200"/>
        <w:jc w:val="left"/>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惠州市公共资源交易中心网：</w:t>
      </w:r>
      <w:r>
        <w:rPr>
          <w:rFonts w:hint="default" w:ascii="Times New Roman" w:hAnsi="Times New Roman" w:eastAsia="华文楷体" w:cs="Times New Roman"/>
          <w:color w:val="auto"/>
          <w:sz w:val="32"/>
          <w:szCs w:val="32"/>
          <w:highlight w:val="none"/>
        </w:rPr>
        <w:fldChar w:fldCharType="begin"/>
      </w:r>
      <w:r>
        <w:rPr>
          <w:rFonts w:hint="default" w:ascii="Times New Roman" w:hAnsi="Times New Roman" w:eastAsia="华文楷体" w:cs="Times New Roman"/>
          <w:color w:val="auto"/>
          <w:sz w:val="32"/>
          <w:szCs w:val="32"/>
          <w:highlight w:val="none"/>
        </w:rPr>
        <w:instrText xml:space="preserve"> HYPERLINK "http://zyjy.huizhou.gov.cn" </w:instrText>
      </w:r>
      <w:r>
        <w:rPr>
          <w:rFonts w:hint="default" w:ascii="Times New Roman" w:hAnsi="Times New Roman" w:eastAsia="华文楷体" w:cs="Times New Roman"/>
          <w:color w:val="auto"/>
          <w:sz w:val="32"/>
          <w:szCs w:val="32"/>
          <w:highlight w:val="none"/>
        </w:rPr>
        <w:fldChar w:fldCharType="separate"/>
      </w:r>
      <w:r>
        <w:rPr>
          <w:rFonts w:hint="default" w:ascii="Times New Roman" w:hAnsi="Times New Roman" w:eastAsia="华文楷体" w:cs="Times New Roman"/>
          <w:color w:val="auto"/>
          <w:sz w:val="32"/>
          <w:szCs w:val="32"/>
          <w:highlight w:val="none"/>
        </w:rPr>
        <w:t>http://zyjy.huizhou.gov.cn</w:t>
      </w:r>
      <w:r>
        <w:rPr>
          <w:rFonts w:hint="default" w:ascii="Times New Roman" w:hAnsi="Times New Roman" w:eastAsia="华文楷体" w:cs="Times New Roman"/>
          <w:color w:val="auto"/>
          <w:sz w:val="32"/>
          <w:szCs w:val="32"/>
          <w:highlight w:val="none"/>
        </w:rPr>
        <w:fldChar w:fldCharType="end"/>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val="0"/>
          <w:bCs w:val="0"/>
          <w:color w:val="auto"/>
          <w:sz w:val="32"/>
          <w:szCs w:val="32"/>
        </w:rPr>
        <w:t>惠州市公共资源交易中心交易大厅的电子显示屏</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数字证书办理地址：广东省惠州市惠城区三新北路31号市民服务中心3号楼惠州市公共资源交易中心一楼大厅1号土地与矿业交易窗口。</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联系人：罗工</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联系电话：0752-7121029</w:t>
      </w:r>
    </w:p>
    <w:p>
      <w:pPr>
        <w:pStyle w:val="3"/>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仿宋_GB2312" w:cs="Times New Roman"/>
          <w:b w:val="0"/>
          <w:bCs w:val="0"/>
          <w:color w:val="auto"/>
          <w:sz w:val="32"/>
          <w:szCs w:val="32"/>
        </w:rPr>
      </w:pPr>
    </w:p>
    <w:p>
      <w:pPr>
        <w:pStyle w:val="3"/>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仿宋_GB2312" w:cs="Times New Roman"/>
          <w:b w:val="0"/>
          <w:bCs w:val="0"/>
          <w:color w:val="auto"/>
          <w:sz w:val="32"/>
          <w:szCs w:val="32"/>
        </w:rPr>
      </w:pPr>
    </w:p>
    <w:p>
      <w:pPr>
        <w:pStyle w:val="3"/>
        <w:keepNext w:val="0"/>
        <w:keepLines w:val="0"/>
        <w:pageBreakBefore w:val="0"/>
        <w:kinsoku/>
        <w:wordWrap/>
        <w:overflowPunct/>
        <w:topLinePunct w:val="0"/>
        <w:autoSpaceDE/>
        <w:autoSpaceDN/>
        <w:bidi w:val="0"/>
        <w:adjustRightInd/>
        <w:snapToGrid/>
        <w:spacing w:line="240" w:lineRule="auto"/>
        <w:ind w:firstLine="3840" w:firstLineChars="1200"/>
        <w:textAlignment w:val="auto"/>
        <w:rPr>
          <w:rFonts w:hint="default" w:ascii="Times New Roman" w:hAnsi="Times New Roman" w:eastAsia="仿宋_GB2312" w:cs="Times New Roman"/>
          <w:b w:val="0"/>
          <w:bCs w:val="0"/>
          <w:color w:val="auto"/>
          <w:sz w:val="32"/>
          <w:szCs w:val="32"/>
          <w:u w:val="single"/>
          <w:lang w:val="en-US" w:eastAsia="zh-CN"/>
        </w:rPr>
      </w:pPr>
      <w:r>
        <w:rPr>
          <w:rFonts w:hint="default" w:ascii="Times New Roman" w:hAnsi="Times New Roman" w:eastAsia="仿宋_GB2312" w:cs="Times New Roman"/>
          <w:b w:val="0"/>
          <w:bCs w:val="0"/>
          <w:color w:val="auto"/>
          <w:sz w:val="32"/>
          <w:szCs w:val="32"/>
          <w:u w:val="none"/>
          <w:lang w:val="en-US" w:eastAsia="zh-CN"/>
        </w:rPr>
        <w:t xml:space="preserve">     惠州市</w:t>
      </w:r>
      <w:r>
        <w:rPr>
          <w:rFonts w:hint="default" w:ascii="Times New Roman" w:hAnsi="Times New Roman" w:eastAsia="仿宋_GB2312" w:cs="Times New Roman"/>
          <w:b w:val="0"/>
          <w:bCs w:val="0"/>
          <w:color w:val="auto"/>
          <w:sz w:val="32"/>
          <w:szCs w:val="32"/>
        </w:rPr>
        <w:t>自然资源局</w:t>
      </w:r>
      <w:r>
        <w:rPr>
          <w:rFonts w:hint="default" w:ascii="Times New Roman" w:hAnsi="Times New Roman" w:eastAsia="仿宋_GB2312" w:cs="Times New Roman"/>
          <w:b w:val="0"/>
          <w:bCs w:val="0"/>
          <w:color w:val="auto"/>
          <w:sz w:val="32"/>
          <w:szCs w:val="32"/>
          <w:lang w:val="en-US" w:eastAsia="zh-CN"/>
        </w:rPr>
        <w:t xml:space="preserve">  </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val="en-US" w:eastAsia="zh-CN"/>
        </w:rPr>
        <w:t xml:space="preserve">                     2022</w:t>
      </w:r>
      <w:r>
        <w:rPr>
          <w:rFonts w:hint="default" w:ascii="Times New Roman" w:hAnsi="Times New Roman" w:eastAsia="仿宋_GB2312" w:cs="Times New Roman"/>
          <w:b w:val="0"/>
          <w:bCs w:val="0"/>
          <w:color w:val="auto"/>
          <w:sz w:val="32"/>
          <w:szCs w:val="32"/>
        </w:rPr>
        <w:t>年</w:t>
      </w:r>
      <w:r>
        <w:rPr>
          <w:rFonts w:hint="default" w:ascii="Times New Roman" w:hAnsi="Times New Roman" w:eastAsia="仿宋_GB2312" w:cs="Times New Roman"/>
          <w:b w:val="0"/>
          <w:bCs w:val="0"/>
          <w:color w:val="auto"/>
          <w:sz w:val="32"/>
          <w:szCs w:val="32"/>
          <w:u w:val="none"/>
          <w:lang w:val="en-US" w:eastAsia="zh-CN"/>
        </w:rPr>
        <w:t>9</w:t>
      </w:r>
      <w:r>
        <w:rPr>
          <w:rFonts w:hint="default" w:ascii="Times New Roman" w:hAnsi="Times New Roman" w:eastAsia="仿宋_GB2312" w:cs="Times New Roman"/>
          <w:b w:val="0"/>
          <w:bCs w:val="0"/>
          <w:color w:val="auto"/>
          <w:sz w:val="32"/>
          <w:szCs w:val="32"/>
        </w:rPr>
        <w:t>月</w:t>
      </w:r>
      <w:r>
        <w:rPr>
          <w:rFonts w:hint="default" w:ascii="Times New Roman" w:hAnsi="Times New Roman" w:eastAsia="仿宋_GB2312" w:cs="Times New Roman"/>
          <w:b w:val="0"/>
          <w:bCs w:val="0"/>
          <w:color w:val="auto"/>
          <w:sz w:val="32"/>
          <w:szCs w:val="32"/>
          <w:lang w:val="en-US" w:eastAsia="zh-CN"/>
        </w:rPr>
        <w:t>2</w:t>
      </w:r>
      <w:r>
        <w:rPr>
          <w:rFonts w:hint="eastAsia" w:eastAsia="仿宋_GB2312" w:cs="Times New Roman"/>
          <w:b w:val="0"/>
          <w:bCs w:val="0"/>
          <w:color w:val="auto"/>
          <w:sz w:val="32"/>
          <w:szCs w:val="32"/>
          <w:lang w:val="en-US" w:eastAsia="zh-CN"/>
        </w:rPr>
        <w:t>3</w:t>
      </w:r>
      <w:r>
        <w:rPr>
          <w:rFonts w:hint="default" w:ascii="Times New Roman" w:hAnsi="Times New Roman" w:eastAsia="仿宋_GB2312" w:cs="Times New Roman"/>
          <w:b w:val="0"/>
          <w:bCs w:val="0"/>
          <w:color w:val="auto"/>
          <w:sz w:val="32"/>
          <w:szCs w:val="32"/>
        </w:rPr>
        <w:t>日</w:t>
      </w:r>
    </w:p>
    <w:p>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华文中宋" w:cs="Times New Roman"/>
          <w:color w:val="auto"/>
          <w:sz w:val="30"/>
          <w:szCs w:val="30"/>
        </w:rPr>
      </w:pPr>
    </w:p>
    <w:p>
      <w:pPr>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color w:val="auto"/>
          <w:sz w:val="32"/>
          <w:szCs w:val="32"/>
        </w:rPr>
      </w:pPr>
    </w:p>
    <w:p>
      <w:pPr>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黑体" w:cs="Times New Roman"/>
          <w:color w:val="auto"/>
          <w:sz w:val="32"/>
          <w:szCs w:val="32"/>
          <w:highlight w:val="none"/>
        </w:rPr>
        <w:sectPr>
          <w:headerReference r:id="rId3" w:type="default"/>
          <w:footerReference r:id="rId4" w:type="default"/>
          <w:pgSz w:w="11906" w:h="16838"/>
          <w:pgMar w:top="1701" w:right="1701" w:bottom="1701" w:left="1701" w:header="851" w:footer="1474" w:gutter="0"/>
          <w:pgNumType w:fmt="decimal" w:start="1"/>
          <w:cols w:space="720" w:num="1"/>
          <w:docGrid w:type="lines" w:linePitch="312" w:charSpace="0"/>
        </w:sectPr>
      </w:pPr>
    </w:p>
    <w:p>
      <w:pPr>
        <w:pStyle w:val="3"/>
        <w:ind w:left="0" w:leftChars="0" w:firstLine="0" w:firstLineChars="0"/>
        <w:rPr>
          <w:rFonts w:hint="default" w:ascii="Times New Roman" w:hAnsi="Times New Roman" w:cs="Times New Roman"/>
          <w:color w:val="auto"/>
        </w:rPr>
      </w:pPr>
    </w:p>
    <w:p>
      <w:pPr>
        <w:spacing w:line="360" w:lineRule="auto"/>
        <w:rPr>
          <w:rFonts w:hint="default" w:ascii="Times New Roman" w:hAnsi="Times New Roman" w:eastAsia="仿宋_GB2312" w:cs="Times New Roman"/>
          <w:color w:val="auto"/>
          <w:sz w:val="32"/>
          <w:szCs w:val="32"/>
          <w:highlight w:val="none"/>
        </w:rPr>
      </w:pPr>
      <w:r>
        <w:rPr>
          <w:rFonts w:hint="default" w:ascii="Times New Roman" w:hAnsi="Times New Roman" w:eastAsia="黑体" w:cs="Times New Roman"/>
          <w:color w:val="auto"/>
          <w:sz w:val="32"/>
          <w:szCs w:val="32"/>
          <w:highlight w:val="none"/>
        </w:rPr>
        <w:t>附表</w:t>
      </w:r>
    </w:p>
    <w:p>
      <w:pPr>
        <w:tabs>
          <w:tab w:val="left" w:pos="9720"/>
        </w:tabs>
        <w:spacing w:line="360" w:lineRule="auto"/>
        <w:jc w:val="center"/>
        <w:rPr>
          <w:rFonts w:hint="default" w:ascii="Times New Roman" w:hAnsi="Times New Roman" w:eastAsia="方正小标宋_GBK" w:cs="Times New Roman"/>
          <w:b/>
          <w:color w:val="auto"/>
          <w:sz w:val="36"/>
          <w:szCs w:val="36"/>
          <w:highlight w:val="none"/>
        </w:rPr>
      </w:pPr>
      <w:r>
        <w:rPr>
          <w:rFonts w:hint="default" w:ascii="Times New Roman" w:hAnsi="Times New Roman" w:eastAsia="方正小标宋_GBK" w:cs="Times New Roman"/>
          <w:b/>
          <w:color w:val="auto"/>
          <w:sz w:val="36"/>
          <w:szCs w:val="36"/>
          <w:highlight w:val="none"/>
        </w:rPr>
        <w:t>网上挂牌出让地块基本情况及规划建设指标</w:t>
      </w:r>
    </w:p>
    <w:tbl>
      <w:tblPr>
        <w:tblStyle w:val="13"/>
        <w:tblpPr w:leftFromText="180" w:rightFromText="180" w:vertAnchor="text" w:horzAnchor="page" w:tblpX="1471" w:tblpY="425"/>
        <w:tblOverlap w:val="never"/>
        <w:tblW w:w="13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1710"/>
        <w:gridCol w:w="1050"/>
        <w:gridCol w:w="1020"/>
        <w:gridCol w:w="1245"/>
        <w:gridCol w:w="975"/>
        <w:gridCol w:w="1440"/>
        <w:gridCol w:w="1035"/>
        <w:gridCol w:w="1140"/>
        <w:gridCol w:w="1230"/>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170" w:type="dxa"/>
            <w:vMerge w:val="restart"/>
            <w:vAlign w:val="center"/>
          </w:tcPr>
          <w:p>
            <w:pPr>
              <w:spacing w:line="320" w:lineRule="exact"/>
              <w:jc w:val="center"/>
              <w:rPr>
                <w:rFonts w:hint="default" w:ascii="Times New Roman" w:hAnsi="Times New Roman" w:eastAsia="仿宋_GB2312" w:cs="Times New Roman"/>
                <w:b/>
                <w:bCs/>
                <w:color w:val="auto"/>
                <w:szCs w:val="21"/>
                <w:highlight w:val="none"/>
                <w:lang w:val="en-US" w:eastAsia="zh-CN"/>
              </w:rPr>
            </w:pPr>
            <w:r>
              <w:rPr>
                <w:rFonts w:hint="default" w:ascii="Times New Roman" w:hAnsi="Times New Roman" w:eastAsia="仿宋_GB2312" w:cs="Times New Roman"/>
                <w:b/>
                <w:bCs/>
                <w:color w:val="auto"/>
                <w:szCs w:val="21"/>
                <w:highlight w:val="none"/>
                <w:lang w:val="en-US" w:eastAsia="zh-CN"/>
              </w:rPr>
              <w:t>地块挂牌编号</w:t>
            </w:r>
          </w:p>
        </w:tc>
        <w:tc>
          <w:tcPr>
            <w:tcW w:w="1710" w:type="dxa"/>
            <w:vMerge w:val="restart"/>
            <w:vAlign w:val="center"/>
          </w:tcPr>
          <w:p>
            <w:pPr>
              <w:spacing w:line="320" w:lineRule="exact"/>
              <w:jc w:val="center"/>
              <w:rPr>
                <w:rFonts w:hint="default" w:ascii="Times New Roman" w:hAnsi="Times New Roman" w:eastAsia="仿宋_GB2312" w:cs="Times New Roman"/>
                <w:b/>
                <w:bCs/>
                <w:color w:val="auto"/>
                <w:szCs w:val="21"/>
                <w:highlight w:val="none"/>
              </w:rPr>
            </w:pPr>
            <w:r>
              <w:rPr>
                <w:rFonts w:hint="default" w:ascii="Times New Roman" w:hAnsi="Times New Roman" w:eastAsia="仿宋_GB2312" w:cs="Times New Roman"/>
                <w:b/>
                <w:bCs/>
                <w:color w:val="auto"/>
                <w:szCs w:val="21"/>
                <w:highlight w:val="none"/>
              </w:rPr>
              <w:t>土地</w:t>
            </w:r>
          </w:p>
          <w:p>
            <w:pPr>
              <w:spacing w:line="320" w:lineRule="exact"/>
              <w:jc w:val="center"/>
              <w:rPr>
                <w:rFonts w:hint="default" w:ascii="Times New Roman" w:hAnsi="Times New Roman" w:eastAsia="仿宋_GB2312" w:cs="Times New Roman"/>
                <w:b/>
                <w:bCs/>
                <w:color w:val="auto"/>
                <w:szCs w:val="21"/>
                <w:highlight w:val="none"/>
              </w:rPr>
            </w:pPr>
            <w:r>
              <w:rPr>
                <w:rFonts w:hint="default" w:ascii="Times New Roman" w:hAnsi="Times New Roman" w:eastAsia="仿宋_GB2312" w:cs="Times New Roman"/>
                <w:b/>
                <w:bCs/>
                <w:color w:val="auto"/>
                <w:szCs w:val="21"/>
                <w:highlight w:val="none"/>
              </w:rPr>
              <w:t>位置</w:t>
            </w:r>
          </w:p>
        </w:tc>
        <w:tc>
          <w:tcPr>
            <w:tcW w:w="1050" w:type="dxa"/>
            <w:vMerge w:val="restart"/>
            <w:vAlign w:val="center"/>
          </w:tcPr>
          <w:p>
            <w:pPr>
              <w:adjustRightInd w:val="0"/>
              <w:snapToGrid w:val="0"/>
              <w:spacing w:line="320" w:lineRule="exact"/>
              <w:jc w:val="center"/>
              <w:rPr>
                <w:rFonts w:hint="default" w:ascii="Times New Roman" w:hAnsi="Times New Roman" w:eastAsia="仿宋_GB2312" w:cs="Times New Roman"/>
                <w:b/>
                <w:bCs/>
                <w:color w:val="auto"/>
                <w:szCs w:val="21"/>
                <w:highlight w:val="none"/>
              </w:rPr>
            </w:pPr>
            <w:r>
              <w:rPr>
                <w:rFonts w:hint="default" w:ascii="Times New Roman" w:hAnsi="Times New Roman" w:eastAsia="仿宋_GB2312" w:cs="Times New Roman"/>
                <w:b/>
                <w:bCs/>
                <w:color w:val="auto"/>
                <w:szCs w:val="21"/>
                <w:highlight w:val="none"/>
                <w:lang w:val="en-US" w:eastAsia="zh-CN"/>
              </w:rPr>
              <w:t>用地</w:t>
            </w:r>
            <w:r>
              <w:rPr>
                <w:rFonts w:hint="default" w:ascii="Times New Roman" w:hAnsi="Times New Roman" w:eastAsia="仿宋_GB2312" w:cs="Times New Roman"/>
                <w:b/>
                <w:bCs/>
                <w:color w:val="auto"/>
                <w:szCs w:val="21"/>
                <w:highlight w:val="none"/>
              </w:rPr>
              <w:t>编号</w:t>
            </w:r>
          </w:p>
        </w:tc>
        <w:tc>
          <w:tcPr>
            <w:tcW w:w="1020" w:type="dxa"/>
            <w:vMerge w:val="restart"/>
            <w:vAlign w:val="center"/>
          </w:tcPr>
          <w:p>
            <w:pPr>
              <w:adjustRightInd w:val="0"/>
              <w:snapToGrid w:val="0"/>
              <w:spacing w:line="320" w:lineRule="exact"/>
              <w:jc w:val="center"/>
              <w:rPr>
                <w:rFonts w:hint="default" w:ascii="Times New Roman" w:hAnsi="Times New Roman" w:eastAsia="仿宋_GB2312" w:cs="Times New Roman"/>
                <w:b/>
                <w:bCs/>
                <w:color w:val="auto"/>
                <w:szCs w:val="21"/>
                <w:highlight w:val="none"/>
              </w:rPr>
            </w:pPr>
            <w:r>
              <w:rPr>
                <w:rFonts w:hint="default" w:ascii="Times New Roman" w:hAnsi="Times New Roman" w:eastAsia="仿宋_GB2312" w:cs="Times New Roman"/>
                <w:b/>
                <w:bCs/>
                <w:color w:val="auto"/>
                <w:szCs w:val="21"/>
                <w:highlight w:val="none"/>
              </w:rPr>
              <w:t>土地</w:t>
            </w:r>
          </w:p>
          <w:p>
            <w:pPr>
              <w:adjustRightInd w:val="0"/>
              <w:snapToGrid w:val="0"/>
              <w:spacing w:line="320" w:lineRule="exact"/>
              <w:jc w:val="center"/>
              <w:rPr>
                <w:rFonts w:hint="default" w:ascii="Times New Roman" w:hAnsi="Times New Roman" w:eastAsia="仿宋_GB2312" w:cs="Times New Roman"/>
                <w:b/>
                <w:bCs/>
                <w:color w:val="auto"/>
                <w:szCs w:val="21"/>
                <w:highlight w:val="none"/>
              </w:rPr>
            </w:pPr>
            <w:r>
              <w:rPr>
                <w:rFonts w:hint="default" w:ascii="Times New Roman" w:hAnsi="Times New Roman" w:eastAsia="仿宋_GB2312" w:cs="Times New Roman"/>
                <w:b/>
                <w:bCs/>
                <w:color w:val="auto"/>
                <w:szCs w:val="21"/>
                <w:highlight w:val="none"/>
              </w:rPr>
              <w:t>用途</w:t>
            </w:r>
          </w:p>
        </w:tc>
        <w:tc>
          <w:tcPr>
            <w:tcW w:w="7065" w:type="dxa"/>
            <w:gridSpan w:val="6"/>
            <w:vAlign w:val="center"/>
          </w:tcPr>
          <w:p>
            <w:pPr>
              <w:adjustRightInd w:val="0"/>
              <w:snapToGrid w:val="0"/>
              <w:spacing w:line="320" w:lineRule="exact"/>
              <w:ind w:left="1" w:leftChars="-89" w:hanging="188" w:hangingChars="89"/>
              <w:jc w:val="center"/>
              <w:rPr>
                <w:rFonts w:hint="default" w:ascii="Times New Roman" w:hAnsi="Times New Roman" w:eastAsia="仿宋_GB2312" w:cs="Times New Roman"/>
                <w:b/>
                <w:bCs/>
                <w:color w:val="auto"/>
                <w:szCs w:val="21"/>
                <w:highlight w:val="none"/>
              </w:rPr>
            </w:pPr>
            <w:r>
              <w:rPr>
                <w:rFonts w:hint="default" w:ascii="Times New Roman" w:hAnsi="Times New Roman" w:eastAsia="仿宋_GB2312" w:cs="Times New Roman"/>
                <w:b/>
                <w:bCs/>
                <w:color w:val="auto"/>
                <w:szCs w:val="21"/>
                <w:highlight w:val="none"/>
              </w:rPr>
              <w:t>规划指标要求</w:t>
            </w:r>
          </w:p>
        </w:tc>
        <w:tc>
          <w:tcPr>
            <w:tcW w:w="1605" w:type="dxa"/>
            <w:vAlign w:val="center"/>
          </w:tcPr>
          <w:p>
            <w:pPr>
              <w:autoSpaceDE w:val="0"/>
              <w:autoSpaceDN w:val="0"/>
              <w:adjustRightInd w:val="0"/>
              <w:spacing w:line="240" w:lineRule="exact"/>
              <w:jc w:val="center"/>
              <w:rPr>
                <w:rFonts w:hint="default" w:ascii="Times New Roman" w:hAnsi="Times New Roman" w:eastAsia="仿宋_GB2312" w:cs="Times New Roman"/>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1170" w:type="dxa"/>
            <w:vMerge w:val="continue"/>
            <w:vAlign w:val="center"/>
          </w:tcPr>
          <w:p>
            <w:pPr>
              <w:adjustRightInd w:val="0"/>
              <w:snapToGrid w:val="0"/>
              <w:spacing w:line="320" w:lineRule="exact"/>
              <w:jc w:val="center"/>
              <w:rPr>
                <w:rFonts w:hint="default" w:ascii="Times New Roman" w:hAnsi="Times New Roman" w:eastAsia="仿宋_GB2312" w:cs="Times New Roman"/>
                <w:b/>
                <w:bCs/>
                <w:color w:val="auto"/>
                <w:highlight w:val="none"/>
              </w:rPr>
            </w:pPr>
          </w:p>
        </w:tc>
        <w:tc>
          <w:tcPr>
            <w:tcW w:w="1710" w:type="dxa"/>
            <w:vMerge w:val="continue"/>
            <w:vAlign w:val="center"/>
          </w:tcPr>
          <w:p>
            <w:pPr>
              <w:adjustRightInd w:val="0"/>
              <w:snapToGrid w:val="0"/>
              <w:spacing w:line="320" w:lineRule="exact"/>
              <w:jc w:val="center"/>
              <w:rPr>
                <w:rFonts w:hint="default" w:ascii="Times New Roman" w:hAnsi="Times New Roman" w:eastAsia="仿宋_GB2312" w:cs="Times New Roman"/>
                <w:b/>
                <w:bCs/>
                <w:color w:val="auto"/>
                <w:highlight w:val="none"/>
              </w:rPr>
            </w:pPr>
          </w:p>
        </w:tc>
        <w:tc>
          <w:tcPr>
            <w:tcW w:w="1050" w:type="dxa"/>
            <w:vMerge w:val="continue"/>
            <w:vAlign w:val="center"/>
          </w:tcPr>
          <w:p>
            <w:pPr>
              <w:adjustRightInd w:val="0"/>
              <w:snapToGrid w:val="0"/>
              <w:spacing w:line="320" w:lineRule="exact"/>
              <w:jc w:val="center"/>
              <w:rPr>
                <w:rFonts w:hint="default" w:ascii="Times New Roman" w:hAnsi="Times New Roman" w:eastAsia="仿宋_GB2312" w:cs="Times New Roman"/>
                <w:b/>
                <w:bCs/>
                <w:color w:val="auto"/>
                <w:highlight w:val="none"/>
              </w:rPr>
            </w:pPr>
          </w:p>
        </w:tc>
        <w:tc>
          <w:tcPr>
            <w:tcW w:w="1020" w:type="dxa"/>
            <w:vMerge w:val="continue"/>
            <w:vAlign w:val="center"/>
          </w:tcPr>
          <w:p>
            <w:pPr>
              <w:adjustRightInd w:val="0"/>
              <w:snapToGrid w:val="0"/>
              <w:spacing w:line="320" w:lineRule="exact"/>
              <w:jc w:val="center"/>
              <w:rPr>
                <w:rFonts w:hint="default" w:ascii="Times New Roman" w:hAnsi="Times New Roman" w:eastAsia="仿宋_GB2312" w:cs="Times New Roman"/>
                <w:b/>
                <w:bCs/>
                <w:color w:val="auto"/>
                <w:highlight w:val="none"/>
              </w:rPr>
            </w:pPr>
          </w:p>
        </w:tc>
        <w:tc>
          <w:tcPr>
            <w:tcW w:w="1245" w:type="dxa"/>
            <w:vAlign w:val="center"/>
          </w:tcPr>
          <w:p>
            <w:pPr>
              <w:autoSpaceDE w:val="0"/>
              <w:autoSpaceDN w:val="0"/>
              <w:adjustRightInd w:val="0"/>
              <w:spacing w:line="240" w:lineRule="exact"/>
              <w:jc w:val="center"/>
              <w:rPr>
                <w:rFonts w:hint="default" w:ascii="Times New Roman" w:hAnsi="Times New Roman" w:cs="Times New Roman"/>
                <w:b/>
                <w:bCs/>
                <w:color w:val="auto"/>
                <w:szCs w:val="21"/>
                <w:highlight w:val="none"/>
              </w:rPr>
            </w:pPr>
            <w:r>
              <w:rPr>
                <w:rFonts w:hint="default" w:ascii="Times New Roman" w:hAnsi="Times New Roman" w:eastAsia="仿宋_GB2312" w:cs="Times New Roman"/>
                <w:b/>
                <w:bCs/>
                <w:color w:val="auto"/>
                <w:szCs w:val="21"/>
                <w:highlight w:val="none"/>
                <w:lang w:val="en-US" w:eastAsia="zh-CN"/>
              </w:rPr>
              <w:t>地下</w:t>
            </w:r>
            <w:r>
              <w:rPr>
                <w:rFonts w:hint="default" w:ascii="Times New Roman" w:hAnsi="Times New Roman" w:eastAsia="仿宋_GB2312" w:cs="Times New Roman"/>
                <w:b/>
                <w:bCs/>
                <w:color w:val="auto"/>
                <w:szCs w:val="21"/>
                <w:highlight w:val="none"/>
              </w:rPr>
              <w:t>宗地使用权面积</w:t>
            </w:r>
          </w:p>
        </w:tc>
        <w:tc>
          <w:tcPr>
            <w:tcW w:w="975" w:type="dxa"/>
            <w:vAlign w:val="center"/>
          </w:tcPr>
          <w:p>
            <w:pPr>
              <w:autoSpaceDE w:val="0"/>
              <w:autoSpaceDN w:val="0"/>
              <w:adjustRightInd w:val="0"/>
              <w:spacing w:line="240" w:lineRule="exact"/>
              <w:jc w:val="center"/>
              <w:rPr>
                <w:rFonts w:hint="default" w:ascii="Times New Roman" w:hAnsi="Times New Roman" w:eastAsia="仿宋_GB2312" w:cs="Times New Roman"/>
                <w:b/>
                <w:bCs/>
                <w:color w:val="auto"/>
                <w:szCs w:val="21"/>
                <w:highlight w:val="none"/>
                <w:lang w:val="en-US" w:eastAsia="zh-CN"/>
              </w:rPr>
            </w:pPr>
            <w:r>
              <w:rPr>
                <w:rFonts w:hint="default" w:ascii="Times New Roman" w:hAnsi="Times New Roman" w:eastAsia="仿宋_GB2312" w:cs="Times New Roman"/>
                <w:b/>
                <w:bCs/>
                <w:color w:val="auto"/>
                <w:szCs w:val="21"/>
                <w:highlight w:val="none"/>
                <w:lang w:val="en-US" w:eastAsia="zh-CN"/>
              </w:rPr>
              <w:t>建筑密度</w:t>
            </w:r>
          </w:p>
        </w:tc>
        <w:tc>
          <w:tcPr>
            <w:tcW w:w="1440" w:type="dxa"/>
            <w:vAlign w:val="center"/>
          </w:tcPr>
          <w:p>
            <w:pPr>
              <w:spacing w:line="320" w:lineRule="exact"/>
              <w:ind w:left="44" w:right="-53" w:rightChars="-25" w:hanging="44" w:hangingChars="21"/>
              <w:jc w:val="center"/>
              <w:rPr>
                <w:rFonts w:hint="eastAsia" w:ascii="Times New Roman" w:hAnsi="Times New Roman" w:eastAsia="仿宋_GB2312" w:cs="Times New Roman"/>
                <w:b/>
                <w:bCs/>
                <w:color w:val="auto"/>
                <w:szCs w:val="21"/>
                <w:highlight w:val="none"/>
                <w:lang w:eastAsia="zh-CN"/>
              </w:rPr>
            </w:pPr>
            <w:r>
              <w:rPr>
                <w:rFonts w:hint="default" w:ascii="Times New Roman" w:hAnsi="Times New Roman" w:eastAsia="仿宋_GB2312" w:cs="Times New Roman"/>
                <w:b/>
                <w:bCs/>
                <w:color w:val="auto"/>
                <w:szCs w:val="21"/>
                <w:highlight w:val="none"/>
              </w:rPr>
              <w:t>计容积率建筑面积</w:t>
            </w:r>
            <w:r>
              <w:rPr>
                <w:rFonts w:hint="eastAsia" w:eastAsia="仿宋_GB2312" w:cs="Times New Roman"/>
                <w:b/>
                <w:bCs/>
                <w:color w:val="auto"/>
                <w:szCs w:val="21"/>
                <w:highlight w:val="none"/>
                <w:lang w:eastAsia="zh-CN"/>
              </w:rPr>
              <w:t>（</w:t>
            </w:r>
            <w:r>
              <w:rPr>
                <w:rFonts w:hint="eastAsia" w:eastAsia="仿宋_GB2312" w:cs="Times New Roman"/>
                <w:b/>
                <w:bCs/>
                <w:color w:val="auto"/>
                <w:szCs w:val="21"/>
                <w:highlight w:val="none"/>
                <w:lang w:val="en-US" w:eastAsia="zh-CN"/>
              </w:rPr>
              <w:t>地上</w:t>
            </w:r>
            <w:r>
              <w:rPr>
                <w:rFonts w:hint="eastAsia" w:eastAsia="仿宋_GB2312" w:cs="Times New Roman"/>
                <w:b/>
                <w:bCs/>
                <w:color w:val="auto"/>
                <w:szCs w:val="21"/>
                <w:highlight w:val="none"/>
                <w:lang w:eastAsia="zh-CN"/>
              </w:rPr>
              <w:t>）</w:t>
            </w:r>
          </w:p>
        </w:tc>
        <w:tc>
          <w:tcPr>
            <w:tcW w:w="1035" w:type="dxa"/>
            <w:vAlign w:val="center"/>
          </w:tcPr>
          <w:p>
            <w:pPr>
              <w:autoSpaceDE w:val="0"/>
              <w:autoSpaceDN w:val="0"/>
              <w:adjustRightInd w:val="0"/>
              <w:spacing w:line="240" w:lineRule="exact"/>
              <w:jc w:val="center"/>
              <w:rPr>
                <w:rFonts w:hint="default" w:ascii="Times New Roman" w:hAnsi="Times New Roman" w:eastAsia="仿宋_GB2312" w:cs="Times New Roman"/>
                <w:b/>
                <w:bCs/>
                <w:color w:val="auto"/>
                <w:highlight w:val="none"/>
                <w:lang w:eastAsia="zh-CN"/>
              </w:rPr>
            </w:pPr>
            <w:r>
              <w:rPr>
                <w:rFonts w:hint="default" w:ascii="Times New Roman" w:hAnsi="Times New Roman" w:eastAsia="仿宋_GB2312" w:cs="Times New Roman"/>
                <w:b/>
                <w:bCs/>
                <w:color w:val="auto"/>
                <w:highlight w:val="none"/>
                <w:lang w:eastAsia="zh-CN"/>
              </w:rPr>
              <w:t>绿地率</w:t>
            </w:r>
          </w:p>
        </w:tc>
        <w:tc>
          <w:tcPr>
            <w:tcW w:w="1140" w:type="dxa"/>
            <w:vAlign w:val="center"/>
          </w:tcPr>
          <w:p>
            <w:pPr>
              <w:autoSpaceDE w:val="0"/>
              <w:autoSpaceDN w:val="0"/>
              <w:adjustRightInd w:val="0"/>
              <w:spacing w:line="240" w:lineRule="exact"/>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eastAsia="仿宋_GB2312" w:cs="Times New Roman"/>
                <w:b/>
                <w:color w:val="auto"/>
                <w:szCs w:val="21"/>
                <w:highlight w:val="none"/>
                <w:lang w:eastAsia="zh-CN"/>
              </w:rPr>
              <w:t>机动车停车位</w:t>
            </w:r>
          </w:p>
        </w:tc>
        <w:tc>
          <w:tcPr>
            <w:tcW w:w="1230" w:type="dxa"/>
            <w:vAlign w:val="center"/>
          </w:tcPr>
          <w:p>
            <w:pPr>
              <w:autoSpaceDE w:val="0"/>
              <w:autoSpaceDN w:val="0"/>
              <w:adjustRightInd w:val="0"/>
              <w:spacing w:line="240" w:lineRule="exact"/>
              <w:jc w:val="center"/>
              <w:rPr>
                <w:rFonts w:hint="default" w:ascii="Times New Roman" w:hAnsi="Times New Roman" w:eastAsia="仿宋_GB2312" w:cs="Times New Roman"/>
                <w:b/>
                <w:bCs/>
                <w:color w:val="auto"/>
                <w:highlight w:val="none"/>
              </w:rPr>
            </w:pPr>
            <w:r>
              <w:rPr>
                <w:rFonts w:hint="default" w:ascii="Times New Roman" w:hAnsi="Times New Roman" w:eastAsia="仿宋_GB2312" w:cs="Times New Roman"/>
                <w:b/>
                <w:bCs/>
                <w:color w:val="auto"/>
                <w:szCs w:val="21"/>
                <w:highlight w:val="none"/>
              </w:rPr>
              <w:t>适建性</w:t>
            </w:r>
          </w:p>
        </w:tc>
        <w:tc>
          <w:tcPr>
            <w:tcW w:w="1605" w:type="dxa"/>
            <w:vAlign w:val="center"/>
          </w:tcPr>
          <w:p>
            <w:pPr>
              <w:autoSpaceDE w:val="0"/>
              <w:autoSpaceDN w:val="0"/>
              <w:adjustRightInd w:val="0"/>
              <w:spacing w:line="240" w:lineRule="exact"/>
              <w:jc w:val="center"/>
              <w:rPr>
                <w:rFonts w:hint="default" w:ascii="Times New Roman" w:hAnsi="Times New Roman" w:eastAsia="仿宋_GB2312" w:cs="Times New Roman"/>
                <w:b/>
                <w:bCs/>
                <w:color w:val="auto"/>
                <w:highlight w:val="none"/>
              </w:rPr>
            </w:pPr>
            <w:r>
              <w:rPr>
                <w:rFonts w:hint="default" w:ascii="Times New Roman" w:hAnsi="Times New Roman" w:eastAsia="仿宋_GB2312" w:cs="Times New Roman"/>
                <w:b/>
                <w:bCs/>
                <w:color w:val="auto"/>
                <w:highlight w:val="none"/>
              </w:rPr>
              <w:t>出让年限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6" w:hRule="atLeast"/>
          <w:jc w:val="center"/>
        </w:trPr>
        <w:tc>
          <w:tcPr>
            <w:tcW w:w="1170" w:type="dxa"/>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default" w:ascii="Times New Roman" w:hAnsi="Times New Roman" w:eastAsia="仿宋_GB2312" w:cs="Times New Roman"/>
                <w:b/>
                <w:bCs/>
                <w:color w:val="auto"/>
                <w:highlight w:val="none"/>
                <w:lang w:val="en-US" w:eastAsia="zh-CN"/>
              </w:rPr>
              <w:t>GP2022-</w:t>
            </w:r>
            <w:r>
              <w:rPr>
                <w:rFonts w:hint="eastAsia" w:eastAsia="仿宋_GB2312" w:cs="Times New Roman"/>
                <w:b/>
                <w:bCs/>
                <w:color w:val="auto"/>
                <w:highlight w:val="none"/>
                <w:lang w:val="en-US" w:eastAsia="zh-CN"/>
              </w:rPr>
              <w:t xml:space="preserve">27 </w:t>
            </w:r>
          </w:p>
        </w:tc>
        <w:tc>
          <w:tcPr>
            <w:tcW w:w="1710" w:type="dxa"/>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default" w:ascii="Times New Roman" w:hAnsi="Times New Roman" w:eastAsia="仿宋_GB2312" w:cs="Times New Roman"/>
                <w:b/>
                <w:bCs/>
                <w:color w:val="auto"/>
                <w:highlight w:val="none"/>
                <w:lang w:val="en-US" w:eastAsia="zh-CN"/>
              </w:rPr>
              <w:t>惠州市惠城区小金口汤村片区TC03-01-01-02地块（地下空间）</w:t>
            </w:r>
          </w:p>
        </w:tc>
        <w:tc>
          <w:tcPr>
            <w:tcW w:w="1050" w:type="dxa"/>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default" w:ascii="Times New Roman" w:hAnsi="Times New Roman" w:eastAsia="仿宋_GB2312" w:cs="Times New Roman"/>
                <w:b/>
                <w:bCs/>
                <w:color w:val="auto"/>
                <w:highlight w:val="none"/>
                <w:lang w:val="en-US" w:eastAsia="zh-CN"/>
              </w:rPr>
              <w:t>TC03-01-01-02</w:t>
            </w:r>
          </w:p>
        </w:tc>
        <w:tc>
          <w:tcPr>
            <w:tcW w:w="1020" w:type="dxa"/>
            <w:tcMar>
              <w:left w:w="0" w:type="dxa"/>
              <w:right w:w="0" w:type="dxa"/>
            </w:tcMar>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eastAsia" w:eastAsia="仿宋_GB2312" w:cs="Times New Roman"/>
                <w:b/>
                <w:bCs/>
                <w:color w:val="auto"/>
                <w:highlight w:val="none"/>
                <w:lang w:val="en-US" w:eastAsia="zh-CN"/>
              </w:rPr>
              <w:t>交通服务场站</w:t>
            </w:r>
            <w:r>
              <w:rPr>
                <w:rFonts w:hint="default" w:ascii="Times New Roman" w:hAnsi="Times New Roman" w:eastAsia="仿宋_GB2312" w:cs="Times New Roman"/>
                <w:b/>
                <w:bCs/>
                <w:color w:val="auto"/>
                <w:highlight w:val="none"/>
                <w:lang w:val="en-US" w:eastAsia="zh-CN"/>
              </w:rPr>
              <w:t>用地</w:t>
            </w:r>
          </w:p>
        </w:tc>
        <w:tc>
          <w:tcPr>
            <w:tcW w:w="1245" w:type="dxa"/>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eastAsia" w:eastAsia="仿宋_GB2312" w:cs="Times New Roman"/>
                <w:b/>
                <w:bCs/>
                <w:color w:val="auto"/>
                <w:highlight w:val="none"/>
                <w:lang w:val="en-US" w:eastAsia="zh-CN"/>
              </w:rPr>
              <w:t>19025.09</w:t>
            </w:r>
            <w:r>
              <w:rPr>
                <w:rFonts w:hint="default" w:ascii="Times New Roman" w:hAnsi="Times New Roman" w:eastAsia="仿宋_GB2312" w:cs="Times New Roman"/>
                <w:b/>
                <w:bCs/>
                <w:color w:val="auto"/>
                <w:highlight w:val="none"/>
                <w:lang w:val="en-US" w:eastAsia="zh-CN"/>
              </w:rPr>
              <w:t>㎡</w:t>
            </w:r>
          </w:p>
        </w:tc>
        <w:tc>
          <w:tcPr>
            <w:tcW w:w="975" w:type="dxa"/>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default" w:ascii="Times New Roman" w:hAnsi="Times New Roman" w:eastAsia="仿宋_GB2312" w:cs="Times New Roman"/>
                <w:b/>
                <w:bCs/>
                <w:color w:val="auto"/>
                <w:highlight w:val="none"/>
                <w:lang w:val="en-US" w:eastAsia="zh-CN"/>
              </w:rPr>
              <w:t>≤</w:t>
            </w:r>
            <w:r>
              <w:rPr>
                <w:rFonts w:hint="eastAsia" w:ascii="Times New Roman" w:hAnsi="Times New Roman" w:eastAsia="仿宋_GB2312" w:cs="Times New Roman"/>
                <w:b/>
                <w:bCs/>
                <w:color w:val="auto"/>
                <w:highlight w:val="none"/>
                <w:lang w:val="en-US" w:eastAsia="zh-CN"/>
              </w:rPr>
              <w:t xml:space="preserve"> </w:t>
            </w:r>
            <w:r>
              <w:rPr>
                <w:rFonts w:hint="eastAsia" w:eastAsia="仿宋_GB2312" w:cs="Times New Roman"/>
                <w:b/>
                <w:bCs/>
                <w:color w:val="auto"/>
                <w:highlight w:val="none"/>
                <w:lang w:val="en-US" w:eastAsia="zh-CN"/>
              </w:rPr>
              <w:t>30</w:t>
            </w:r>
            <w:r>
              <w:rPr>
                <w:rFonts w:hint="eastAsia" w:ascii="Times New Roman" w:hAnsi="Times New Roman" w:eastAsia="仿宋_GB2312" w:cs="Times New Roman"/>
                <w:b/>
                <w:bCs/>
                <w:color w:val="auto"/>
                <w:highlight w:val="none"/>
                <w:lang w:val="en-US" w:eastAsia="zh-CN"/>
              </w:rPr>
              <w:t>%</w:t>
            </w:r>
          </w:p>
        </w:tc>
        <w:tc>
          <w:tcPr>
            <w:tcW w:w="1440" w:type="dxa"/>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default" w:ascii="Times New Roman" w:hAnsi="Times New Roman" w:eastAsia="仿宋_GB2312" w:cs="Times New Roman"/>
                <w:b/>
                <w:bCs/>
                <w:color w:val="auto"/>
                <w:highlight w:val="none"/>
                <w:lang w:val="en-US" w:eastAsia="zh-CN"/>
              </w:rPr>
              <w:t xml:space="preserve">≤ </w:t>
            </w:r>
            <w:r>
              <w:rPr>
                <w:rFonts w:hint="eastAsia" w:eastAsia="仿宋_GB2312" w:cs="Times New Roman"/>
                <w:b/>
                <w:bCs/>
                <w:color w:val="auto"/>
                <w:highlight w:val="none"/>
                <w:lang w:val="en-US" w:eastAsia="zh-CN"/>
              </w:rPr>
              <w:t>900</w:t>
            </w:r>
            <w:r>
              <w:rPr>
                <w:rFonts w:hint="default" w:ascii="Times New Roman" w:hAnsi="Times New Roman" w:eastAsia="仿宋_GB2312" w:cs="Times New Roman"/>
                <w:b/>
                <w:bCs/>
                <w:color w:val="auto"/>
                <w:highlight w:val="none"/>
                <w:lang w:val="en-US" w:eastAsia="zh-CN"/>
              </w:rPr>
              <w:t>㎡</w:t>
            </w:r>
          </w:p>
        </w:tc>
        <w:tc>
          <w:tcPr>
            <w:tcW w:w="1035" w:type="dxa"/>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default" w:ascii="Times New Roman" w:hAnsi="Times New Roman" w:eastAsia="仿宋_GB2312" w:cs="Times New Roman"/>
                <w:b/>
                <w:bCs/>
                <w:color w:val="auto"/>
                <w:highlight w:val="none"/>
                <w:lang w:eastAsia="zh-CN"/>
              </w:rPr>
              <w:t xml:space="preserve">≥ </w:t>
            </w:r>
            <w:r>
              <w:rPr>
                <w:rFonts w:hint="eastAsia" w:eastAsia="仿宋_GB2312" w:cs="Times New Roman"/>
                <w:b/>
                <w:bCs/>
                <w:color w:val="auto"/>
                <w:highlight w:val="none"/>
                <w:lang w:val="en-US" w:eastAsia="zh-CN"/>
              </w:rPr>
              <w:t>30%</w:t>
            </w:r>
          </w:p>
        </w:tc>
        <w:tc>
          <w:tcPr>
            <w:tcW w:w="1140" w:type="dxa"/>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default" w:ascii="Times New Roman" w:hAnsi="Times New Roman" w:eastAsia="仿宋_GB2312" w:cs="Times New Roman"/>
                <w:b/>
                <w:bCs/>
                <w:color w:val="auto"/>
                <w:highlight w:val="none"/>
                <w:lang w:val="en-US" w:eastAsia="zh-CN"/>
              </w:rPr>
              <w:t>地下社会公共停车位≥400个</w:t>
            </w:r>
          </w:p>
        </w:tc>
        <w:tc>
          <w:tcPr>
            <w:tcW w:w="1230" w:type="dxa"/>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default" w:ascii="Times New Roman" w:hAnsi="Times New Roman" w:eastAsia="仿宋_GB2312" w:cs="Times New Roman"/>
                <w:b/>
                <w:bCs/>
                <w:color w:val="auto"/>
                <w:highlight w:val="none"/>
                <w:lang w:val="en-US" w:eastAsia="zh-CN"/>
              </w:rPr>
              <w:t>社会公共停车位及配套设施</w:t>
            </w:r>
          </w:p>
        </w:tc>
        <w:tc>
          <w:tcPr>
            <w:tcW w:w="1605" w:type="dxa"/>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eastAsia" w:eastAsia="仿宋_GB2312" w:cs="Times New Roman"/>
                <w:b/>
                <w:bCs/>
                <w:color w:val="auto"/>
                <w:highlight w:val="none"/>
                <w:lang w:val="en-US" w:eastAsia="zh-CN"/>
              </w:rPr>
              <w:t>交通服务场站</w:t>
            </w:r>
            <w:r>
              <w:rPr>
                <w:rFonts w:hint="default" w:ascii="Times New Roman" w:hAnsi="Times New Roman" w:eastAsia="仿宋_GB2312" w:cs="Times New Roman"/>
                <w:b/>
                <w:bCs/>
                <w:color w:val="auto"/>
                <w:highlight w:val="none"/>
                <w:lang w:val="en-US" w:eastAsia="zh-CN"/>
              </w:rPr>
              <w:t>用地</w:t>
            </w:r>
          </w:p>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default" w:ascii="Times New Roman" w:hAnsi="Times New Roman" w:eastAsia="仿宋_GB2312" w:cs="Times New Roman"/>
                <w:b/>
                <w:bCs/>
                <w:color w:val="auto"/>
                <w:highlight w:val="none"/>
                <w:lang w:val="en-US" w:eastAsia="zh-CN"/>
              </w:rPr>
              <w:t>50年</w:t>
            </w:r>
          </w:p>
        </w:tc>
      </w:tr>
    </w:tbl>
    <w:p>
      <w:pPr>
        <w:pStyle w:val="21"/>
        <w:ind w:firstLine="0"/>
        <w:rPr>
          <w:rFonts w:hint="default" w:ascii="Times New Roman" w:hAnsi="Times New Roman" w:eastAsia="仿宋" w:cs="Times New Roman"/>
          <w:color w:val="auto"/>
          <w:sz w:val="32"/>
          <w:szCs w:val="32"/>
        </w:rPr>
      </w:pPr>
      <w:bookmarkStart w:id="0" w:name="_GoBack"/>
      <w:bookmarkEnd w:id="0"/>
    </w:p>
    <w:sectPr>
      <w:footerReference r:id="rId5" w:type="default"/>
      <w:pgSz w:w="16838" w:h="11906" w:orient="landscape"/>
      <w:pgMar w:top="1560" w:right="1440" w:bottom="1133" w:left="144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0147497-3379-4F6B-A1DA-124C7DA6A417}"/>
  </w:font>
  <w:font w:name="Arial">
    <w:panose1 w:val="020B0604020202020204"/>
    <w:charset w:val="01"/>
    <w:family w:val="swiss"/>
    <w:pitch w:val="default"/>
    <w:sig w:usb0="E0002AFF" w:usb1="C0007843" w:usb2="00000009" w:usb3="00000000" w:csb0="400001FF" w:csb1="FFFF0000"/>
    <w:embedRegular r:id="rId2" w:fontKey="{4F741377-3097-47EB-A8F9-5A7CB9A114D7}"/>
  </w:font>
  <w:font w:name="黑体">
    <w:panose1 w:val="02010609060101010101"/>
    <w:charset w:val="86"/>
    <w:family w:val="auto"/>
    <w:pitch w:val="default"/>
    <w:sig w:usb0="800002BF" w:usb1="38CF7CFA" w:usb2="00000016" w:usb3="00000000" w:csb0="00040001" w:csb1="00000000"/>
    <w:embedRegular r:id="rId3" w:fontKey="{F2101765-0B36-4BC0-A0E0-60C0EB822F52}"/>
  </w:font>
  <w:font w:name="Courier New">
    <w:panose1 w:val="02070309020205020404"/>
    <w:charset w:val="01"/>
    <w:family w:val="modern"/>
    <w:pitch w:val="default"/>
    <w:sig w:usb0="E0002AFF" w:usb1="C0007843" w:usb2="00000009" w:usb3="00000000" w:csb0="400001FF" w:csb1="FFFF0000"/>
    <w:embedRegular r:id="rId4" w:fontKey="{A338E07B-DC7C-4AFE-B9E6-94A5E736EB8A}"/>
  </w:font>
  <w:font w:name="Symbol">
    <w:panose1 w:val="05050102010706020507"/>
    <w:charset w:val="02"/>
    <w:family w:val="roman"/>
    <w:pitch w:val="default"/>
    <w:sig w:usb0="00000000" w:usb1="00000000" w:usb2="00000000" w:usb3="00000000" w:csb0="80000000" w:csb1="00000000"/>
    <w:embedRegular r:id="rId5" w:fontKey="{A719B4CA-3950-4E2D-BEE0-994D499C3A80}"/>
  </w:font>
  <w:font w:name="Calibri">
    <w:panose1 w:val="020F0502020204030204"/>
    <w:charset w:val="00"/>
    <w:family w:val="swiss"/>
    <w:pitch w:val="default"/>
    <w:sig w:usb0="E10002FF" w:usb1="4000ACFF" w:usb2="00000009" w:usb3="00000000" w:csb0="2000019F" w:csb1="00000000"/>
    <w:embedRegular r:id="rId6" w:fontKey="{8A091DB1-5D64-49ED-B62F-DF11668317B6}"/>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0" w:usb1="00000000" w:usb2="00000000" w:usb3="00000000" w:csb0="00000000" w:csb1="00000000"/>
    <w:embedRegular r:id="rId7" w:fontKey="{DB22D3A6-8065-4979-9F80-B6AB15628468}"/>
  </w:font>
  <w:font w:name="华文中宋">
    <w:panose1 w:val="02010600040101010101"/>
    <w:charset w:val="86"/>
    <w:family w:val="auto"/>
    <w:pitch w:val="default"/>
    <w:sig w:usb0="00000287" w:usb1="080F0000" w:usb2="00000000" w:usb3="00000000" w:csb0="0004009F" w:csb1="DFD70000"/>
    <w:embedRegular r:id="rId8" w:fontKey="{ADED6D6A-0FBC-4C3B-8D11-8C739FF35943}"/>
  </w:font>
  <w:font w:name="Batang">
    <w:panose1 w:val="02030600000101010101"/>
    <w:charset w:val="81"/>
    <w:family w:val="roman"/>
    <w:pitch w:val="default"/>
    <w:sig w:usb0="B00002AF" w:usb1="69D77CFB" w:usb2="00000030" w:usb3="00000000" w:csb0="4008009F" w:csb1="DFD70000"/>
  </w:font>
  <w:font w:name="方正小标宋简体">
    <w:panose1 w:val="02000000000000000000"/>
    <w:charset w:val="86"/>
    <w:family w:val="script"/>
    <w:pitch w:val="default"/>
    <w:sig w:usb0="A00002BF" w:usb1="184F6CFA" w:usb2="00000012" w:usb3="00000000" w:csb0="00040001" w:csb1="00000000"/>
    <w:embedRegular r:id="rId9" w:fontKey="{02D8E7A1-D2C9-477E-B675-56302402E8F0}"/>
  </w:font>
  <w:font w:name="华文楷体">
    <w:panose1 w:val="02010600040101010101"/>
    <w:charset w:val="86"/>
    <w:family w:val="auto"/>
    <w:pitch w:val="default"/>
    <w:sig w:usb0="00000000" w:usb1="00000000" w:usb2="00000000" w:usb3="00000000" w:csb0="00000000" w:csb1="00000000"/>
    <w:embedRegular r:id="rId10" w:fontKey="{F32A1642-00DA-4D5E-9CD0-BA7B003DC33B}"/>
  </w:font>
  <w:font w:name="方正小标宋_GBK">
    <w:panose1 w:val="03000509000000000000"/>
    <w:charset w:val="86"/>
    <w:family w:val="script"/>
    <w:pitch w:val="default"/>
    <w:sig w:usb0="00000000" w:usb1="00000000" w:usb2="00000000" w:usb3="00000000" w:csb0="00000000" w:csb1="00000000"/>
    <w:embedRegular r:id="rId11" w:fontKey="{B73426AA-62A7-4387-AFE5-D42EF3E7246D}"/>
  </w:font>
  <w:font w:name="仿宋">
    <w:panose1 w:val="02010609060101010101"/>
    <w:charset w:val="86"/>
    <w:family w:val="modern"/>
    <w:pitch w:val="default"/>
    <w:sig w:usb0="800002BF" w:usb1="38CF7CFA" w:usb2="00000016" w:usb3="00000000" w:csb0="00040001" w:csb1="00000000"/>
    <w:embedRegular r:id="rId12" w:fontKey="{E983D44F-9999-4B96-8CD2-A529ED5D63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firstLine="360"/>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Style w:val="15"/>
                              <w:rFonts w:hint="eastAsia"/>
                              <w:sz w:val="28"/>
                              <w:szCs w:val="28"/>
                            </w:rPr>
                          </w:pPr>
                          <w:r>
                            <w:rPr>
                              <w:rStyle w:val="15"/>
                              <w:rFonts w:hint="eastAsia"/>
                              <w:sz w:val="28"/>
                              <w:szCs w:val="28"/>
                            </w:rPr>
                            <w:t xml:space="preserve">— </w:t>
                          </w:r>
                          <w:r>
                            <w:rPr>
                              <w:sz w:val="28"/>
                              <w:szCs w:val="28"/>
                            </w:rPr>
                            <w:fldChar w:fldCharType="begin"/>
                          </w:r>
                          <w:r>
                            <w:rPr>
                              <w:rStyle w:val="15"/>
                              <w:sz w:val="28"/>
                              <w:szCs w:val="28"/>
                            </w:rPr>
                            <w:instrText xml:space="preserve">PAGE  </w:instrText>
                          </w:r>
                          <w:r>
                            <w:rPr>
                              <w:sz w:val="28"/>
                              <w:szCs w:val="28"/>
                            </w:rPr>
                            <w:fldChar w:fldCharType="separate"/>
                          </w:r>
                          <w:r>
                            <w:rPr>
                              <w:rStyle w:val="15"/>
                              <w:sz w:val="28"/>
                              <w:szCs w:val="28"/>
                            </w:rPr>
                            <w:t>11</w:t>
                          </w:r>
                          <w:r>
                            <w:rPr>
                              <w:sz w:val="28"/>
                              <w:szCs w:val="28"/>
                            </w:rPr>
                            <w:fldChar w:fldCharType="end"/>
                          </w:r>
                          <w:r>
                            <w:rPr>
                              <w:rStyle w:val="15"/>
                              <w:rFonts w:hint="eastAsia"/>
                              <w:sz w:val="28"/>
                              <w:szCs w:val="28"/>
                            </w:rPr>
                            <w:t xml:space="preserve"> —</w:t>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ql5uc8AAAAFAQAA&#10;DwAAAAAAAAABACAAAAAiAAAAZHJzL2Rvd25yZXYueG1sUEsBAhQAFAAAAAgAh07iQPewPBiwAQAA&#10;TQMAAA4AAAAAAAAAAQAgAAAAHgEAAGRycy9lMm9Eb2MueG1sUEsFBgAAAAAGAAYAWQEAAEAFAAAA&#10;AA==&#10;">
              <v:fill on="f" focussize="0,0"/>
              <v:stroke on="f"/>
              <v:imagedata o:title=""/>
              <o:lock v:ext="edit" aspectratio="f"/>
              <v:textbox inset="0mm,0mm,0mm,0mm" style="mso-fit-shape-to-text:t;">
                <w:txbxContent>
                  <w:p>
                    <w:pPr>
                      <w:pStyle w:val="9"/>
                      <w:rPr>
                        <w:rStyle w:val="15"/>
                        <w:rFonts w:hint="eastAsia"/>
                        <w:sz w:val="28"/>
                        <w:szCs w:val="28"/>
                      </w:rPr>
                    </w:pPr>
                    <w:r>
                      <w:rPr>
                        <w:rStyle w:val="15"/>
                        <w:rFonts w:hint="eastAsia"/>
                        <w:sz w:val="28"/>
                        <w:szCs w:val="28"/>
                      </w:rPr>
                      <w:t xml:space="preserve">— </w:t>
                    </w:r>
                    <w:r>
                      <w:rPr>
                        <w:sz w:val="28"/>
                        <w:szCs w:val="28"/>
                      </w:rPr>
                      <w:fldChar w:fldCharType="begin"/>
                    </w:r>
                    <w:r>
                      <w:rPr>
                        <w:rStyle w:val="15"/>
                        <w:sz w:val="28"/>
                        <w:szCs w:val="28"/>
                      </w:rPr>
                      <w:instrText xml:space="preserve">PAGE  </w:instrText>
                    </w:r>
                    <w:r>
                      <w:rPr>
                        <w:sz w:val="28"/>
                        <w:szCs w:val="28"/>
                      </w:rPr>
                      <w:fldChar w:fldCharType="separate"/>
                    </w:r>
                    <w:r>
                      <w:rPr>
                        <w:rStyle w:val="15"/>
                        <w:sz w:val="28"/>
                        <w:szCs w:val="28"/>
                      </w:rPr>
                      <w:t>11</w:t>
                    </w:r>
                    <w:r>
                      <w:rPr>
                        <w:sz w:val="28"/>
                        <w:szCs w:val="28"/>
                      </w:rPr>
                      <w:fldChar w:fldCharType="end"/>
                    </w:r>
                    <w:r>
                      <w:rPr>
                        <w:rStyle w:val="15"/>
                        <w:rFonts w:hint="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hint="eastAsia"/>
      </w:rPr>
    </w:pPr>
    <w:r>
      <w:rPr>
        <w:rStyle w:val="15"/>
        <w:rFonts w:hint="eastAsia"/>
        <w:sz w:val="28"/>
        <w:szCs w:val="28"/>
      </w:rPr>
      <w:t xml:space="preserve">— </w:t>
    </w:r>
    <w:r>
      <w:rPr>
        <w:sz w:val="28"/>
        <w:szCs w:val="28"/>
      </w:rPr>
      <w:fldChar w:fldCharType="begin"/>
    </w:r>
    <w:r>
      <w:rPr>
        <w:rStyle w:val="15"/>
        <w:sz w:val="28"/>
        <w:szCs w:val="28"/>
      </w:rPr>
      <w:instrText xml:space="preserve">PAGE  </w:instrText>
    </w:r>
    <w:r>
      <w:rPr>
        <w:sz w:val="28"/>
        <w:szCs w:val="28"/>
      </w:rPr>
      <w:fldChar w:fldCharType="separate"/>
    </w:r>
    <w:r>
      <w:rPr>
        <w:rStyle w:val="15"/>
        <w:sz w:val="28"/>
        <w:szCs w:val="28"/>
      </w:rPr>
      <w:t>11</w:t>
    </w:r>
    <w:r>
      <w:rPr>
        <w:sz w:val="28"/>
        <w:szCs w:val="28"/>
      </w:rPr>
      <w:fldChar w:fldCharType="end"/>
    </w:r>
    <w:r>
      <w:rPr>
        <w:rStyle w:val="15"/>
        <w:rFonts w:hint="eastAsia"/>
        <w:sz w:val="28"/>
        <w:szCs w:val="28"/>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5BD82C"/>
    <w:multiLevelType w:val="singleLevel"/>
    <w:tmpl w:val="8B5BD82C"/>
    <w:lvl w:ilvl="0" w:tentative="0">
      <w:start w:val="1"/>
      <w:numFmt w:val="chineseCounting"/>
      <w:suff w:val="nothing"/>
      <w:lvlText w:val="（%1）"/>
      <w:lvlJc w:val="left"/>
      <w:rPr>
        <w:rFonts w:hint="eastAsia"/>
      </w:rPr>
    </w:lvl>
  </w:abstractNum>
  <w:abstractNum w:abstractNumId="1">
    <w:nsid w:val="A6218609"/>
    <w:multiLevelType w:val="singleLevel"/>
    <w:tmpl w:val="A6218609"/>
    <w:lvl w:ilvl="0" w:tentative="0">
      <w:start w:val="1"/>
      <w:numFmt w:val="chineseCounting"/>
      <w:suff w:val="nothing"/>
      <w:lvlText w:val="（%1）"/>
      <w:lvlJc w:val="left"/>
      <w:rPr>
        <w:rFonts w:hint="eastAsia"/>
      </w:rPr>
    </w:lvl>
  </w:abstractNum>
  <w:abstractNum w:abstractNumId="2">
    <w:nsid w:val="DF07AB9F"/>
    <w:multiLevelType w:val="singleLevel"/>
    <w:tmpl w:val="DF07AB9F"/>
    <w:lvl w:ilvl="0" w:tentative="0">
      <w:start w:val="1"/>
      <w:numFmt w:val="chineseCounting"/>
      <w:suff w:val="nothing"/>
      <w:lvlText w:val="（%1）"/>
      <w:lvlJc w:val="left"/>
      <w:rPr>
        <w:rFonts w:hint="eastAsia"/>
      </w:rPr>
    </w:lvl>
  </w:abstractNum>
  <w:abstractNum w:abstractNumId="3">
    <w:nsid w:val="0904E1E0"/>
    <w:multiLevelType w:val="singleLevel"/>
    <w:tmpl w:val="0904E1E0"/>
    <w:lvl w:ilvl="0" w:tentative="0">
      <w:start w:val="1"/>
      <w:numFmt w:val="chineseCounting"/>
      <w:suff w:val="nothing"/>
      <w:lvlText w:val="%1、"/>
      <w:lvlJc w:val="left"/>
      <w:rPr>
        <w:rFonts w:hint="eastAsia"/>
      </w:rPr>
    </w:lvl>
  </w:abstractNum>
  <w:abstractNum w:abstractNumId="4">
    <w:nsid w:val="10039C2E"/>
    <w:multiLevelType w:val="singleLevel"/>
    <w:tmpl w:val="10039C2E"/>
    <w:lvl w:ilvl="0" w:tentative="0">
      <w:start w:val="2"/>
      <w:numFmt w:val="chineseCounting"/>
      <w:suff w:val="nothing"/>
      <w:lvlText w:val="（%1）"/>
      <w:lvlJc w:val="left"/>
      <w:rPr>
        <w:rFonts w:hint="eastAsia"/>
      </w:rPr>
    </w:lvl>
  </w:abstractNum>
  <w:abstractNum w:abstractNumId="5">
    <w:nsid w:val="60CD4A18"/>
    <w:multiLevelType w:val="singleLevel"/>
    <w:tmpl w:val="60CD4A18"/>
    <w:lvl w:ilvl="0" w:tentative="0">
      <w:start w:val="1"/>
      <w:numFmt w:val="chineseCounting"/>
      <w:suff w:val="nothing"/>
      <w:lvlText w:val="（%1）"/>
      <w:lvlJc w:val="left"/>
      <w:rPr>
        <w:rFonts w:hint="eastAsia"/>
      </w:rPr>
    </w:lvl>
  </w:abstractNum>
  <w:num w:numId="1">
    <w:abstractNumId w:val="3"/>
  </w:num>
  <w:num w:numId="2">
    <w:abstractNumId w:val="5"/>
  </w:num>
  <w:num w:numId="3">
    <w:abstractNumId w:val="4"/>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I3OTFhMWQxYmNmOTM0MTNjYjcyZDdjZjg1ZTg2OTUifQ=="/>
  </w:docVars>
  <w:rsids>
    <w:rsidRoot w:val="00172A27"/>
    <w:rsid w:val="00012546"/>
    <w:rsid w:val="00060529"/>
    <w:rsid w:val="000A72BA"/>
    <w:rsid w:val="00112A1B"/>
    <w:rsid w:val="00115FB2"/>
    <w:rsid w:val="00135362"/>
    <w:rsid w:val="0015169A"/>
    <w:rsid w:val="001606A0"/>
    <w:rsid w:val="001F6DC4"/>
    <w:rsid w:val="00200E3B"/>
    <w:rsid w:val="002222AC"/>
    <w:rsid w:val="00272C2D"/>
    <w:rsid w:val="00274509"/>
    <w:rsid w:val="00292528"/>
    <w:rsid w:val="00356BE6"/>
    <w:rsid w:val="00356DB6"/>
    <w:rsid w:val="003817EF"/>
    <w:rsid w:val="003828F9"/>
    <w:rsid w:val="003A5078"/>
    <w:rsid w:val="003C31D3"/>
    <w:rsid w:val="003C5545"/>
    <w:rsid w:val="003D7B7A"/>
    <w:rsid w:val="00440B26"/>
    <w:rsid w:val="0044793A"/>
    <w:rsid w:val="00500095"/>
    <w:rsid w:val="005102A3"/>
    <w:rsid w:val="00580AEF"/>
    <w:rsid w:val="00595FD5"/>
    <w:rsid w:val="005F7815"/>
    <w:rsid w:val="00633A63"/>
    <w:rsid w:val="006707EB"/>
    <w:rsid w:val="006A2C61"/>
    <w:rsid w:val="006B2A8B"/>
    <w:rsid w:val="006E089E"/>
    <w:rsid w:val="006E63E5"/>
    <w:rsid w:val="007005C5"/>
    <w:rsid w:val="00705B71"/>
    <w:rsid w:val="00711113"/>
    <w:rsid w:val="00874E68"/>
    <w:rsid w:val="0087571B"/>
    <w:rsid w:val="008763AC"/>
    <w:rsid w:val="00877C79"/>
    <w:rsid w:val="00877E94"/>
    <w:rsid w:val="008B367C"/>
    <w:rsid w:val="008C3670"/>
    <w:rsid w:val="0097202C"/>
    <w:rsid w:val="00993D7E"/>
    <w:rsid w:val="00A17423"/>
    <w:rsid w:val="00A2434E"/>
    <w:rsid w:val="00A43AA7"/>
    <w:rsid w:val="00A66611"/>
    <w:rsid w:val="00A779A2"/>
    <w:rsid w:val="00AF3A9C"/>
    <w:rsid w:val="00B17FBA"/>
    <w:rsid w:val="00B25650"/>
    <w:rsid w:val="00B2719A"/>
    <w:rsid w:val="00BA5BED"/>
    <w:rsid w:val="00BD6318"/>
    <w:rsid w:val="00C92607"/>
    <w:rsid w:val="00C958CE"/>
    <w:rsid w:val="00C979FE"/>
    <w:rsid w:val="00CC5821"/>
    <w:rsid w:val="00D3270B"/>
    <w:rsid w:val="00D5320B"/>
    <w:rsid w:val="00D71B1B"/>
    <w:rsid w:val="00E167B9"/>
    <w:rsid w:val="00E244F6"/>
    <w:rsid w:val="00EB0007"/>
    <w:rsid w:val="00EB5C1C"/>
    <w:rsid w:val="00ED4229"/>
    <w:rsid w:val="00F12314"/>
    <w:rsid w:val="00F747EF"/>
    <w:rsid w:val="00F853A3"/>
    <w:rsid w:val="00FA5124"/>
    <w:rsid w:val="00FD5275"/>
    <w:rsid w:val="01892462"/>
    <w:rsid w:val="019D562A"/>
    <w:rsid w:val="02D70C02"/>
    <w:rsid w:val="03024EF5"/>
    <w:rsid w:val="03195159"/>
    <w:rsid w:val="03881C78"/>
    <w:rsid w:val="03BD1BAE"/>
    <w:rsid w:val="040A20B6"/>
    <w:rsid w:val="040B296D"/>
    <w:rsid w:val="042F666F"/>
    <w:rsid w:val="04700CB8"/>
    <w:rsid w:val="04E562EB"/>
    <w:rsid w:val="04FA03B0"/>
    <w:rsid w:val="053D3BC4"/>
    <w:rsid w:val="05421031"/>
    <w:rsid w:val="0575341F"/>
    <w:rsid w:val="057E07C6"/>
    <w:rsid w:val="05886E41"/>
    <w:rsid w:val="061910AD"/>
    <w:rsid w:val="06274C91"/>
    <w:rsid w:val="06B712C9"/>
    <w:rsid w:val="06E63D28"/>
    <w:rsid w:val="06E75817"/>
    <w:rsid w:val="06F72E4D"/>
    <w:rsid w:val="07121FCA"/>
    <w:rsid w:val="074632DF"/>
    <w:rsid w:val="074A2E82"/>
    <w:rsid w:val="07705CAD"/>
    <w:rsid w:val="07FE01EE"/>
    <w:rsid w:val="080D1CB5"/>
    <w:rsid w:val="082F691D"/>
    <w:rsid w:val="088553AB"/>
    <w:rsid w:val="08A84522"/>
    <w:rsid w:val="08B16A10"/>
    <w:rsid w:val="08C92B85"/>
    <w:rsid w:val="08CE2242"/>
    <w:rsid w:val="08DA2FCC"/>
    <w:rsid w:val="09987A56"/>
    <w:rsid w:val="09EB1350"/>
    <w:rsid w:val="09F90D0D"/>
    <w:rsid w:val="0A2366D9"/>
    <w:rsid w:val="0A5C09EE"/>
    <w:rsid w:val="0ADE0215"/>
    <w:rsid w:val="0AEC3BD3"/>
    <w:rsid w:val="0B164844"/>
    <w:rsid w:val="0B4C2DF5"/>
    <w:rsid w:val="0B6160F7"/>
    <w:rsid w:val="0B8326A4"/>
    <w:rsid w:val="0B9B7C60"/>
    <w:rsid w:val="0C3C0AC4"/>
    <w:rsid w:val="0C4156F5"/>
    <w:rsid w:val="0C965124"/>
    <w:rsid w:val="0D021F85"/>
    <w:rsid w:val="0D9E4B96"/>
    <w:rsid w:val="0DBD7CEC"/>
    <w:rsid w:val="0DD029DD"/>
    <w:rsid w:val="0E6F3982"/>
    <w:rsid w:val="0E7A485B"/>
    <w:rsid w:val="0E9C141F"/>
    <w:rsid w:val="0E9E79B5"/>
    <w:rsid w:val="0EAB1FCA"/>
    <w:rsid w:val="0F102CC4"/>
    <w:rsid w:val="0F3A4CC6"/>
    <w:rsid w:val="0FB0170F"/>
    <w:rsid w:val="0FFE6BF3"/>
    <w:rsid w:val="10136B5B"/>
    <w:rsid w:val="10327CB3"/>
    <w:rsid w:val="103435D2"/>
    <w:rsid w:val="103B1D18"/>
    <w:rsid w:val="103F06DB"/>
    <w:rsid w:val="10512C11"/>
    <w:rsid w:val="1058063F"/>
    <w:rsid w:val="10B3744D"/>
    <w:rsid w:val="10D8131B"/>
    <w:rsid w:val="1109033E"/>
    <w:rsid w:val="114C0484"/>
    <w:rsid w:val="1155638A"/>
    <w:rsid w:val="11907689"/>
    <w:rsid w:val="11B44AA1"/>
    <w:rsid w:val="11EF609E"/>
    <w:rsid w:val="12210F1F"/>
    <w:rsid w:val="12231BBF"/>
    <w:rsid w:val="122B2861"/>
    <w:rsid w:val="12744159"/>
    <w:rsid w:val="12A46D13"/>
    <w:rsid w:val="12B227AB"/>
    <w:rsid w:val="13371B21"/>
    <w:rsid w:val="141B7C72"/>
    <w:rsid w:val="146F55DD"/>
    <w:rsid w:val="14F6677D"/>
    <w:rsid w:val="151E5550"/>
    <w:rsid w:val="15381415"/>
    <w:rsid w:val="154C727C"/>
    <w:rsid w:val="157B4799"/>
    <w:rsid w:val="15C54AE8"/>
    <w:rsid w:val="164431E7"/>
    <w:rsid w:val="16881543"/>
    <w:rsid w:val="16F168B3"/>
    <w:rsid w:val="171952CF"/>
    <w:rsid w:val="173C100D"/>
    <w:rsid w:val="173F3759"/>
    <w:rsid w:val="179A37FF"/>
    <w:rsid w:val="179B32EF"/>
    <w:rsid w:val="17CE0776"/>
    <w:rsid w:val="17D26762"/>
    <w:rsid w:val="180725AD"/>
    <w:rsid w:val="18510B15"/>
    <w:rsid w:val="18594714"/>
    <w:rsid w:val="18840AD3"/>
    <w:rsid w:val="18E84F30"/>
    <w:rsid w:val="18F45835"/>
    <w:rsid w:val="19074ED5"/>
    <w:rsid w:val="1965042A"/>
    <w:rsid w:val="19734BF0"/>
    <w:rsid w:val="1AA6466A"/>
    <w:rsid w:val="1AA8271B"/>
    <w:rsid w:val="1AAE128F"/>
    <w:rsid w:val="1ADC7C4E"/>
    <w:rsid w:val="1AFD2137"/>
    <w:rsid w:val="1B6D2FB1"/>
    <w:rsid w:val="1B8100C5"/>
    <w:rsid w:val="1BF33939"/>
    <w:rsid w:val="1C020F97"/>
    <w:rsid w:val="1C0B3CC3"/>
    <w:rsid w:val="1C2F2F4F"/>
    <w:rsid w:val="1C730FDE"/>
    <w:rsid w:val="1D4B29A3"/>
    <w:rsid w:val="1D4E0007"/>
    <w:rsid w:val="1D5344DD"/>
    <w:rsid w:val="1D5F4341"/>
    <w:rsid w:val="1D650077"/>
    <w:rsid w:val="1D7D46A5"/>
    <w:rsid w:val="1DA5458D"/>
    <w:rsid w:val="1DA96935"/>
    <w:rsid w:val="1DE27913"/>
    <w:rsid w:val="1E24482A"/>
    <w:rsid w:val="1E342C3D"/>
    <w:rsid w:val="1E4B3080"/>
    <w:rsid w:val="1E5A641D"/>
    <w:rsid w:val="1ED64838"/>
    <w:rsid w:val="1EE155E2"/>
    <w:rsid w:val="1F3D1B1E"/>
    <w:rsid w:val="1F5676CC"/>
    <w:rsid w:val="1F58398F"/>
    <w:rsid w:val="1F5C33A4"/>
    <w:rsid w:val="1FB10E61"/>
    <w:rsid w:val="203C781B"/>
    <w:rsid w:val="20400893"/>
    <w:rsid w:val="207165DB"/>
    <w:rsid w:val="20FC7060"/>
    <w:rsid w:val="212F3833"/>
    <w:rsid w:val="215F4E1C"/>
    <w:rsid w:val="216D6205"/>
    <w:rsid w:val="217D4394"/>
    <w:rsid w:val="21E46981"/>
    <w:rsid w:val="21FA5286"/>
    <w:rsid w:val="2204550A"/>
    <w:rsid w:val="221C344E"/>
    <w:rsid w:val="22D407B4"/>
    <w:rsid w:val="22F442F8"/>
    <w:rsid w:val="233C2922"/>
    <w:rsid w:val="23952D50"/>
    <w:rsid w:val="23962F28"/>
    <w:rsid w:val="23DC7EA1"/>
    <w:rsid w:val="23E129DA"/>
    <w:rsid w:val="24976F38"/>
    <w:rsid w:val="249A2C0B"/>
    <w:rsid w:val="24D40A88"/>
    <w:rsid w:val="252009CE"/>
    <w:rsid w:val="252D1ED8"/>
    <w:rsid w:val="25876A3C"/>
    <w:rsid w:val="25AF6927"/>
    <w:rsid w:val="261070C9"/>
    <w:rsid w:val="261B4309"/>
    <w:rsid w:val="264628D2"/>
    <w:rsid w:val="26B947C5"/>
    <w:rsid w:val="26BA6204"/>
    <w:rsid w:val="27446D6E"/>
    <w:rsid w:val="2759519F"/>
    <w:rsid w:val="279B3DC6"/>
    <w:rsid w:val="27D20C8B"/>
    <w:rsid w:val="28141E1B"/>
    <w:rsid w:val="28C72F73"/>
    <w:rsid w:val="28E830B4"/>
    <w:rsid w:val="292F4A4F"/>
    <w:rsid w:val="29455937"/>
    <w:rsid w:val="294851FE"/>
    <w:rsid w:val="29725C61"/>
    <w:rsid w:val="29816FC4"/>
    <w:rsid w:val="299F1664"/>
    <w:rsid w:val="2AE72846"/>
    <w:rsid w:val="2B194B98"/>
    <w:rsid w:val="2B5E6193"/>
    <w:rsid w:val="2BA50303"/>
    <w:rsid w:val="2BA51DE4"/>
    <w:rsid w:val="2BEE3F5A"/>
    <w:rsid w:val="2CE701FA"/>
    <w:rsid w:val="2D4B3392"/>
    <w:rsid w:val="2D5C2342"/>
    <w:rsid w:val="2D7221EA"/>
    <w:rsid w:val="2D8015AC"/>
    <w:rsid w:val="2D8A2C4C"/>
    <w:rsid w:val="2DC85DBF"/>
    <w:rsid w:val="2DD10399"/>
    <w:rsid w:val="2E2F3912"/>
    <w:rsid w:val="2E34052C"/>
    <w:rsid w:val="2E455DCD"/>
    <w:rsid w:val="2E4C1DDA"/>
    <w:rsid w:val="2E844C8F"/>
    <w:rsid w:val="2F35155F"/>
    <w:rsid w:val="2F412AC4"/>
    <w:rsid w:val="2F516B8E"/>
    <w:rsid w:val="2F6617C7"/>
    <w:rsid w:val="3088078B"/>
    <w:rsid w:val="30984D0E"/>
    <w:rsid w:val="30BF0C9F"/>
    <w:rsid w:val="30E12AEA"/>
    <w:rsid w:val="310C2D41"/>
    <w:rsid w:val="317F4F49"/>
    <w:rsid w:val="31C53FA8"/>
    <w:rsid w:val="31D25E87"/>
    <w:rsid w:val="32011F47"/>
    <w:rsid w:val="32842AE6"/>
    <w:rsid w:val="330D0DEA"/>
    <w:rsid w:val="33A22B8D"/>
    <w:rsid w:val="33B96EAD"/>
    <w:rsid w:val="33F65D1B"/>
    <w:rsid w:val="34252B59"/>
    <w:rsid w:val="34780B0C"/>
    <w:rsid w:val="34B25E37"/>
    <w:rsid w:val="350573CF"/>
    <w:rsid w:val="356571BF"/>
    <w:rsid w:val="35885523"/>
    <w:rsid w:val="35A95B52"/>
    <w:rsid w:val="35E32D3C"/>
    <w:rsid w:val="361C761A"/>
    <w:rsid w:val="36326E3E"/>
    <w:rsid w:val="36966290"/>
    <w:rsid w:val="36F86E62"/>
    <w:rsid w:val="37701DBA"/>
    <w:rsid w:val="37E01C29"/>
    <w:rsid w:val="37E43A32"/>
    <w:rsid w:val="382A2178"/>
    <w:rsid w:val="385E0E12"/>
    <w:rsid w:val="38E5116D"/>
    <w:rsid w:val="38FA4DF0"/>
    <w:rsid w:val="39065649"/>
    <w:rsid w:val="396A5393"/>
    <w:rsid w:val="39DC5BFD"/>
    <w:rsid w:val="3A016FC1"/>
    <w:rsid w:val="3A08040D"/>
    <w:rsid w:val="3A916C1F"/>
    <w:rsid w:val="3AB132EF"/>
    <w:rsid w:val="3AD84ED2"/>
    <w:rsid w:val="3AE212EA"/>
    <w:rsid w:val="3AFE2182"/>
    <w:rsid w:val="3B4B5999"/>
    <w:rsid w:val="3B9F72A2"/>
    <w:rsid w:val="3BAC26DC"/>
    <w:rsid w:val="3BE4556B"/>
    <w:rsid w:val="3C0F6B8E"/>
    <w:rsid w:val="3C27636D"/>
    <w:rsid w:val="3C6B0B9A"/>
    <w:rsid w:val="3CC62F17"/>
    <w:rsid w:val="3D4855A0"/>
    <w:rsid w:val="3D5C1DC0"/>
    <w:rsid w:val="3D6A3743"/>
    <w:rsid w:val="3DD70781"/>
    <w:rsid w:val="3E153566"/>
    <w:rsid w:val="3F2565C9"/>
    <w:rsid w:val="3F3217DA"/>
    <w:rsid w:val="3F716B67"/>
    <w:rsid w:val="3FE57DC9"/>
    <w:rsid w:val="3FFB2B83"/>
    <w:rsid w:val="408B63EC"/>
    <w:rsid w:val="40E26E1C"/>
    <w:rsid w:val="411C77DE"/>
    <w:rsid w:val="413B4C25"/>
    <w:rsid w:val="41641009"/>
    <w:rsid w:val="418D1A52"/>
    <w:rsid w:val="41AF464B"/>
    <w:rsid w:val="41FC0817"/>
    <w:rsid w:val="42376092"/>
    <w:rsid w:val="42746213"/>
    <w:rsid w:val="42CE70B2"/>
    <w:rsid w:val="42F64DF0"/>
    <w:rsid w:val="42F65066"/>
    <w:rsid w:val="43087C17"/>
    <w:rsid w:val="431E39D0"/>
    <w:rsid w:val="43581783"/>
    <w:rsid w:val="43887742"/>
    <w:rsid w:val="43C442D8"/>
    <w:rsid w:val="44067922"/>
    <w:rsid w:val="44217369"/>
    <w:rsid w:val="442944F4"/>
    <w:rsid w:val="44590BD6"/>
    <w:rsid w:val="44AD5B1D"/>
    <w:rsid w:val="44E66F5C"/>
    <w:rsid w:val="44FF2B55"/>
    <w:rsid w:val="453935D0"/>
    <w:rsid w:val="45406324"/>
    <w:rsid w:val="455F7BDC"/>
    <w:rsid w:val="459F6E66"/>
    <w:rsid w:val="45BA748F"/>
    <w:rsid w:val="45C87241"/>
    <w:rsid w:val="45FA483C"/>
    <w:rsid w:val="463C2CC0"/>
    <w:rsid w:val="46762C8E"/>
    <w:rsid w:val="46CC6BCD"/>
    <w:rsid w:val="46E8302F"/>
    <w:rsid w:val="46F8199F"/>
    <w:rsid w:val="47313766"/>
    <w:rsid w:val="47AD11C0"/>
    <w:rsid w:val="48811AC2"/>
    <w:rsid w:val="48B05202"/>
    <w:rsid w:val="48DB21F9"/>
    <w:rsid w:val="49765D4C"/>
    <w:rsid w:val="498C4520"/>
    <w:rsid w:val="498E2164"/>
    <w:rsid w:val="49E86F6D"/>
    <w:rsid w:val="4A30452E"/>
    <w:rsid w:val="4A5C147F"/>
    <w:rsid w:val="4A82123F"/>
    <w:rsid w:val="4A8832F8"/>
    <w:rsid w:val="4AB976FE"/>
    <w:rsid w:val="4B0D007D"/>
    <w:rsid w:val="4B27046D"/>
    <w:rsid w:val="4B5E3066"/>
    <w:rsid w:val="4B8544C7"/>
    <w:rsid w:val="4B9373C3"/>
    <w:rsid w:val="4C336074"/>
    <w:rsid w:val="4D0F237E"/>
    <w:rsid w:val="4D161309"/>
    <w:rsid w:val="4DA23BD4"/>
    <w:rsid w:val="4DA65574"/>
    <w:rsid w:val="4DEE7E1B"/>
    <w:rsid w:val="4DF23BD0"/>
    <w:rsid w:val="4E01256C"/>
    <w:rsid w:val="4E0806B4"/>
    <w:rsid w:val="4E982272"/>
    <w:rsid w:val="4EAB2C08"/>
    <w:rsid w:val="4EF26A58"/>
    <w:rsid w:val="4EFC5E53"/>
    <w:rsid w:val="4F1134B0"/>
    <w:rsid w:val="4F8521D6"/>
    <w:rsid w:val="4F9C664B"/>
    <w:rsid w:val="500111EB"/>
    <w:rsid w:val="50407C6C"/>
    <w:rsid w:val="50737326"/>
    <w:rsid w:val="50AE44E2"/>
    <w:rsid w:val="50BC6E93"/>
    <w:rsid w:val="51056B88"/>
    <w:rsid w:val="510C79DF"/>
    <w:rsid w:val="512B272D"/>
    <w:rsid w:val="51383EC6"/>
    <w:rsid w:val="51542295"/>
    <w:rsid w:val="520B348B"/>
    <w:rsid w:val="52D8447C"/>
    <w:rsid w:val="52EE0906"/>
    <w:rsid w:val="53393B7E"/>
    <w:rsid w:val="53935D29"/>
    <w:rsid w:val="53D5409C"/>
    <w:rsid w:val="53D578AD"/>
    <w:rsid w:val="540411E6"/>
    <w:rsid w:val="542A248B"/>
    <w:rsid w:val="545D6DB4"/>
    <w:rsid w:val="54D46776"/>
    <w:rsid w:val="54E42917"/>
    <w:rsid w:val="554F4B17"/>
    <w:rsid w:val="557042DF"/>
    <w:rsid w:val="55BF5546"/>
    <w:rsid w:val="5611777C"/>
    <w:rsid w:val="56352615"/>
    <w:rsid w:val="563B06E2"/>
    <w:rsid w:val="56CF69A8"/>
    <w:rsid w:val="575B7811"/>
    <w:rsid w:val="57955916"/>
    <w:rsid w:val="57B31347"/>
    <w:rsid w:val="57D40A97"/>
    <w:rsid w:val="59202A65"/>
    <w:rsid w:val="594E62AB"/>
    <w:rsid w:val="598A2B0E"/>
    <w:rsid w:val="598B178D"/>
    <w:rsid w:val="59FC27B0"/>
    <w:rsid w:val="5A505AC2"/>
    <w:rsid w:val="5A54535C"/>
    <w:rsid w:val="5A604623"/>
    <w:rsid w:val="5A6A3DA8"/>
    <w:rsid w:val="5AB73BC5"/>
    <w:rsid w:val="5AEC22C9"/>
    <w:rsid w:val="5B664F1F"/>
    <w:rsid w:val="5B7613DD"/>
    <w:rsid w:val="5BD308DC"/>
    <w:rsid w:val="5C377ED8"/>
    <w:rsid w:val="5CE2095E"/>
    <w:rsid w:val="5D076358"/>
    <w:rsid w:val="5D68301F"/>
    <w:rsid w:val="5D9222F9"/>
    <w:rsid w:val="5E1523FE"/>
    <w:rsid w:val="5E4B20CE"/>
    <w:rsid w:val="5ED76031"/>
    <w:rsid w:val="5EE74523"/>
    <w:rsid w:val="5EEE5CC7"/>
    <w:rsid w:val="5F4678B1"/>
    <w:rsid w:val="5F492468"/>
    <w:rsid w:val="5F6D22FF"/>
    <w:rsid w:val="5FF04D8E"/>
    <w:rsid w:val="601A1C8A"/>
    <w:rsid w:val="604C1BB9"/>
    <w:rsid w:val="606953F1"/>
    <w:rsid w:val="60AB7B91"/>
    <w:rsid w:val="60B969AA"/>
    <w:rsid w:val="60BA1775"/>
    <w:rsid w:val="60C50A1C"/>
    <w:rsid w:val="614041EB"/>
    <w:rsid w:val="61656D5A"/>
    <w:rsid w:val="618C4337"/>
    <w:rsid w:val="61C66890"/>
    <w:rsid w:val="62C4428A"/>
    <w:rsid w:val="63C545A0"/>
    <w:rsid w:val="64342A5C"/>
    <w:rsid w:val="64734B19"/>
    <w:rsid w:val="647A7CF9"/>
    <w:rsid w:val="647F0DF9"/>
    <w:rsid w:val="64C302F9"/>
    <w:rsid w:val="64F80241"/>
    <w:rsid w:val="653C7D40"/>
    <w:rsid w:val="65502EAA"/>
    <w:rsid w:val="660E4EA0"/>
    <w:rsid w:val="66812C4D"/>
    <w:rsid w:val="66B90400"/>
    <w:rsid w:val="66E3635E"/>
    <w:rsid w:val="679B5C90"/>
    <w:rsid w:val="67C43A6C"/>
    <w:rsid w:val="67FE6DB4"/>
    <w:rsid w:val="6800519C"/>
    <w:rsid w:val="680D326D"/>
    <w:rsid w:val="688E7929"/>
    <w:rsid w:val="68D26DF9"/>
    <w:rsid w:val="692314EB"/>
    <w:rsid w:val="692961C4"/>
    <w:rsid w:val="6A0A6F3D"/>
    <w:rsid w:val="6AA46680"/>
    <w:rsid w:val="6AC92AD3"/>
    <w:rsid w:val="6B305E6F"/>
    <w:rsid w:val="6B477565"/>
    <w:rsid w:val="6B646B87"/>
    <w:rsid w:val="6BAD6D16"/>
    <w:rsid w:val="6CDA601A"/>
    <w:rsid w:val="6D1C261B"/>
    <w:rsid w:val="6D294C5F"/>
    <w:rsid w:val="6D6244BD"/>
    <w:rsid w:val="6D653C9D"/>
    <w:rsid w:val="6D741B03"/>
    <w:rsid w:val="6D974DC5"/>
    <w:rsid w:val="6DBB3204"/>
    <w:rsid w:val="6DE730A6"/>
    <w:rsid w:val="6E2F5F30"/>
    <w:rsid w:val="6E48491A"/>
    <w:rsid w:val="6E752B1D"/>
    <w:rsid w:val="6E80205A"/>
    <w:rsid w:val="6EA539CF"/>
    <w:rsid w:val="6EF056E3"/>
    <w:rsid w:val="6F09318B"/>
    <w:rsid w:val="6F7A7BE5"/>
    <w:rsid w:val="6FD17FB1"/>
    <w:rsid w:val="6FDA78FB"/>
    <w:rsid w:val="70266A97"/>
    <w:rsid w:val="70387C05"/>
    <w:rsid w:val="70991AC0"/>
    <w:rsid w:val="70FE1E2A"/>
    <w:rsid w:val="712E2B40"/>
    <w:rsid w:val="712E5C7A"/>
    <w:rsid w:val="71573B9F"/>
    <w:rsid w:val="71B061C3"/>
    <w:rsid w:val="71E35282"/>
    <w:rsid w:val="7289422C"/>
    <w:rsid w:val="72C17BB2"/>
    <w:rsid w:val="72D440E1"/>
    <w:rsid w:val="72DE697E"/>
    <w:rsid w:val="72E012D3"/>
    <w:rsid w:val="730C1FB8"/>
    <w:rsid w:val="73232A65"/>
    <w:rsid w:val="73E03841"/>
    <w:rsid w:val="741E31BA"/>
    <w:rsid w:val="74420FDF"/>
    <w:rsid w:val="749D5F31"/>
    <w:rsid w:val="74F73B5C"/>
    <w:rsid w:val="7506532C"/>
    <w:rsid w:val="75112038"/>
    <w:rsid w:val="752A7CDF"/>
    <w:rsid w:val="75527669"/>
    <w:rsid w:val="75F80F01"/>
    <w:rsid w:val="75F81C88"/>
    <w:rsid w:val="7664529F"/>
    <w:rsid w:val="768974C4"/>
    <w:rsid w:val="769A5576"/>
    <w:rsid w:val="76B11F95"/>
    <w:rsid w:val="77094BBB"/>
    <w:rsid w:val="775C7190"/>
    <w:rsid w:val="77883DA0"/>
    <w:rsid w:val="77AB03BC"/>
    <w:rsid w:val="78111B77"/>
    <w:rsid w:val="78113703"/>
    <w:rsid w:val="783E304F"/>
    <w:rsid w:val="785A0AD9"/>
    <w:rsid w:val="788249BE"/>
    <w:rsid w:val="78CF11EE"/>
    <w:rsid w:val="78FF6958"/>
    <w:rsid w:val="795C2A02"/>
    <w:rsid w:val="796E0E90"/>
    <w:rsid w:val="7A3F4E10"/>
    <w:rsid w:val="7A90290C"/>
    <w:rsid w:val="7A947096"/>
    <w:rsid w:val="7A956238"/>
    <w:rsid w:val="7A9802C7"/>
    <w:rsid w:val="7AEA7343"/>
    <w:rsid w:val="7B6174B9"/>
    <w:rsid w:val="7B77572B"/>
    <w:rsid w:val="7BAD0F04"/>
    <w:rsid w:val="7BD01162"/>
    <w:rsid w:val="7C31015A"/>
    <w:rsid w:val="7C8D71FE"/>
    <w:rsid w:val="7CDD2FDC"/>
    <w:rsid w:val="7CDD3C2A"/>
    <w:rsid w:val="7CEA47C5"/>
    <w:rsid w:val="7CED6118"/>
    <w:rsid w:val="7D4F03D5"/>
    <w:rsid w:val="7D826F56"/>
    <w:rsid w:val="7DC77BA3"/>
    <w:rsid w:val="7DDD6813"/>
    <w:rsid w:val="7DEA49C0"/>
    <w:rsid w:val="7E082AA4"/>
    <w:rsid w:val="7E266DD3"/>
    <w:rsid w:val="7E324C72"/>
    <w:rsid w:val="7F097A03"/>
    <w:rsid w:val="7F2F1657"/>
    <w:rsid w:val="7F454A87"/>
    <w:rsid w:val="7F906066"/>
    <w:rsid w:val="7FF466E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0"/>
    <w:pPr>
      <w:keepNext/>
      <w:keepLines/>
      <w:outlineLvl w:val="0"/>
    </w:pPr>
    <w:rPr>
      <w:rFonts w:eastAsia="楷体"/>
      <w:kern w:val="44"/>
    </w:rPr>
  </w:style>
  <w:style w:type="character" w:default="1" w:styleId="14">
    <w:name w:val="Default Paragraph Font"/>
    <w:qFormat/>
    <w:uiPriority w:val="0"/>
  </w:style>
  <w:style w:type="table" w:default="1" w:styleId="13">
    <w:name w:val="Normal Table"/>
    <w:unhideWhenUsed/>
    <w:qFormat/>
    <w:uiPriority w:val="99"/>
    <w:tblPr>
      <w:tblCellMar>
        <w:top w:w="0" w:type="dxa"/>
        <w:left w:w="108" w:type="dxa"/>
        <w:bottom w:w="0" w:type="dxa"/>
        <w:right w:w="108" w:type="dxa"/>
      </w:tblCellMar>
    </w:tblPr>
  </w:style>
  <w:style w:type="paragraph" w:styleId="3">
    <w:name w:val="Normal Indent"/>
    <w:basedOn w:val="1"/>
    <w:qFormat/>
    <w:uiPriority w:val="0"/>
    <w:pPr>
      <w:spacing w:line="360" w:lineRule="auto"/>
      <w:ind w:firstLine="420"/>
    </w:pPr>
    <w:rPr>
      <w:sz w:val="28"/>
      <w:szCs w:val="20"/>
    </w:rPr>
  </w:style>
  <w:style w:type="paragraph" w:styleId="4">
    <w:name w:val="Body Text"/>
    <w:basedOn w:val="1"/>
    <w:next w:val="5"/>
    <w:qFormat/>
    <w:uiPriority w:val="0"/>
    <w:pPr>
      <w:jc w:val="center"/>
    </w:pPr>
    <w:rPr>
      <w:rFonts w:ascii="黑体" w:eastAsia="黑体"/>
      <w:sz w:val="30"/>
    </w:rPr>
  </w:style>
  <w:style w:type="paragraph" w:styleId="5">
    <w:name w:val="Body Text First Indent 2"/>
    <w:basedOn w:val="6"/>
    <w:qFormat/>
    <w:uiPriority w:val="0"/>
    <w:pPr>
      <w:ind w:firstLine="200" w:firstLineChars="200"/>
    </w:pPr>
  </w:style>
  <w:style w:type="paragraph" w:styleId="6">
    <w:name w:val="Body Text Indent"/>
    <w:basedOn w:val="1"/>
    <w:link w:val="23"/>
    <w:qFormat/>
    <w:uiPriority w:val="0"/>
    <w:pPr>
      <w:widowControl/>
      <w:adjustRightInd w:val="0"/>
      <w:snapToGrid w:val="0"/>
      <w:spacing w:before="100"/>
      <w:ind w:firstLine="640" w:firstLineChars="200"/>
      <w:jc w:val="left"/>
    </w:pPr>
    <w:rPr>
      <w:rFonts w:ascii="仿宋_GB2312" w:hAnsi="华文中宋" w:eastAsia="仿宋_GB2312"/>
      <w:kern w:val="0"/>
      <w:sz w:val="32"/>
      <w:szCs w:val="24"/>
    </w:rPr>
  </w:style>
  <w:style w:type="paragraph" w:styleId="7">
    <w:name w:val="Plain Text"/>
    <w:basedOn w:val="1"/>
    <w:link w:val="24"/>
    <w:qFormat/>
    <w:uiPriority w:val="0"/>
    <w:rPr>
      <w:rFonts w:ascii="宋体" w:hAnsi="Courier New"/>
      <w:sz w:val="32"/>
      <w:szCs w:val="32"/>
    </w:rPr>
  </w:style>
  <w:style w:type="paragraph" w:styleId="8">
    <w:name w:val="Balloon Text"/>
    <w:basedOn w:val="1"/>
    <w:link w:val="25"/>
    <w:qFormat/>
    <w:uiPriority w:val="0"/>
    <w:rPr>
      <w:sz w:val="18"/>
      <w:szCs w:val="18"/>
    </w:rPr>
  </w:style>
  <w:style w:type="paragraph" w:styleId="9">
    <w:name w:val="footer"/>
    <w:basedOn w:val="1"/>
    <w:link w:val="26"/>
    <w:qFormat/>
    <w:uiPriority w:val="0"/>
    <w:pPr>
      <w:tabs>
        <w:tab w:val="center" w:pos="4153"/>
        <w:tab w:val="right" w:pos="8306"/>
      </w:tabs>
      <w:snapToGrid w:val="0"/>
      <w:jc w:val="left"/>
    </w:pPr>
    <w:rPr>
      <w:sz w:val="18"/>
      <w:szCs w:val="18"/>
    </w:rPr>
  </w:style>
  <w:style w:type="paragraph" w:styleId="10">
    <w:name w:val="header"/>
    <w:basedOn w:val="1"/>
    <w:link w:val="27"/>
    <w:qFormat/>
    <w:uiPriority w:val="0"/>
    <w:pPr>
      <w:pBdr>
        <w:bottom w:val="single" w:color="auto" w:sz="6" w:space="1"/>
      </w:pBdr>
      <w:tabs>
        <w:tab w:val="center" w:pos="4153"/>
        <w:tab w:val="right" w:pos="8306"/>
      </w:tabs>
      <w:snapToGrid w:val="0"/>
      <w:jc w:val="center"/>
    </w:pPr>
    <w:rPr>
      <w:sz w:val="18"/>
      <w:szCs w:val="18"/>
    </w:rPr>
  </w:style>
  <w:style w:type="paragraph" w:styleId="11">
    <w:name w:val="toc 2"/>
    <w:basedOn w:val="1"/>
    <w:next w:val="1"/>
    <w:qFormat/>
    <w:uiPriority w:val="0"/>
    <w:pPr>
      <w:ind w:left="420" w:leftChars="200"/>
    </w:pPr>
  </w:style>
  <w:style w:type="paragraph" w:styleId="12">
    <w:name w:val="Normal (Web)"/>
    <w:basedOn w:val="1"/>
    <w:qFormat/>
    <w:uiPriority w:val="0"/>
    <w:pPr>
      <w:jc w:val="left"/>
    </w:pPr>
    <w:rPr>
      <w:kern w:val="0"/>
      <w:sz w:val="24"/>
    </w:rPr>
  </w:style>
  <w:style w:type="character" w:styleId="15">
    <w:name w:val="page number"/>
    <w:basedOn w:val="14"/>
    <w:qFormat/>
    <w:uiPriority w:val="0"/>
  </w:style>
  <w:style w:type="character" w:styleId="16">
    <w:name w:val="Hyperlink"/>
    <w:qFormat/>
    <w:uiPriority w:val="0"/>
    <w:rPr>
      <w:color w:val="0000FF"/>
      <w:u w:val="single"/>
    </w:rPr>
  </w:style>
  <w:style w:type="paragraph" w:customStyle="1" w:styleId="17">
    <w:name w:val="Date"/>
    <w:basedOn w:val="1"/>
    <w:next w:val="1"/>
    <w:link w:val="29"/>
    <w:qFormat/>
    <w:uiPriority w:val="0"/>
    <w:pPr>
      <w:ind w:left="100" w:leftChars="2500"/>
    </w:pPr>
  </w:style>
  <w:style w:type="paragraph" w:customStyle="1" w:styleId="18">
    <w:name w:val="ParaAttribute6"/>
    <w:qFormat/>
    <w:uiPriority w:val="0"/>
    <w:pPr>
      <w:widowControl w:val="0"/>
      <w:wordWrap w:val="0"/>
      <w:ind w:firstLine="600"/>
      <w:jc w:val="both"/>
    </w:pPr>
    <w:rPr>
      <w:rFonts w:ascii="Times New Roman" w:hAnsi="Times New Roman" w:eastAsia="Batang" w:cs="Times New Roman"/>
      <w:lang w:val="en-US" w:eastAsia="zh-CN" w:bidi="ar-SA"/>
    </w:rPr>
  </w:style>
  <w:style w:type="paragraph" w:customStyle="1" w:styleId="19">
    <w:name w:val="内标题一"/>
    <w:basedOn w:val="1"/>
    <w:qFormat/>
    <w:uiPriority w:val="0"/>
    <w:rPr>
      <w:rFonts w:eastAsia="楷体"/>
    </w:rPr>
  </w:style>
  <w:style w:type="paragraph" w:customStyle="1" w:styleId="20">
    <w:name w:val="样式1"/>
    <w:basedOn w:val="4"/>
    <w:next w:val="10"/>
    <w:qFormat/>
    <w:uiPriority w:val="0"/>
    <w:pPr>
      <w:spacing w:before="156" w:beforeLines="50" w:after="156" w:afterLines="50" w:line="360" w:lineRule="auto"/>
      <w:jc w:val="both"/>
    </w:pPr>
    <w:rPr>
      <w:rFonts w:ascii="宋体" w:hAnsi="宋体"/>
      <w:sz w:val="30"/>
    </w:rPr>
  </w:style>
  <w:style w:type="paragraph" w:customStyle="1" w:styleId="21">
    <w:name w:val="ParaAttribute8"/>
    <w:qFormat/>
    <w:uiPriority w:val="0"/>
    <w:pPr>
      <w:widowControl w:val="0"/>
      <w:wordWrap w:val="0"/>
      <w:ind w:firstLine="6000"/>
      <w:jc w:val="both"/>
    </w:pPr>
    <w:rPr>
      <w:rFonts w:ascii="Times New Roman" w:hAnsi="Times New Roman" w:eastAsia="Batang" w:cs="Times New Roman"/>
      <w:lang w:val="en-US" w:eastAsia="zh-CN" w:bidi="ar-SA"/>
    </w:rPr>
  </w:style>
  <w:style w:type="paragraph" w:customStyle="1" w:styleId="22">
    <w:name w:val="ParaAttribute4"/>
    <w:qFormat/>
    <w:uiPriority w:val="0"/>
    <w:pPr>
      <w:widowControl w:val="0"/>
      <w:wordWrap w:val="0"/>
      <w:ind w:firstLine="480"/>
      <w:jc w:val="both"/>
    </w:pPr>
    <w:rPr>
      <w:rFonts w:ascii="Times New Roman" w:hAnsi="Times New Roman" w:eastAsia="Batang" w:cs="Times New Roman"/>
      <w:lang w:val="en-US" w:eastAsia="zh-CN" w:bidi="ar-SA"/>
    </w:rPr>
  </w:style>
  <w:style w:type="character" w:customStyle="1" w:styleId="23">
    <w:name w:val="正文文本缩进 字符"/>
    <w:link w:val="6"/>
    <w:qFormat/>
    <w:uiPriority w:val="0"/>
    <w:rPr>
      <w:rFonts w:ascii="仿宋_GB2312" w:hAnsi="华文中宋" w:eastAsia="仿宋_GB2312"/>
      <w:sz w:val="32"/>
      <w:szCs w:val="24"/>
    </w:rPr>
  </w:style>
  <w:style w:type="character" w:customStyle="1" w:styleId="24">
    <w:name w:val="纯文本 字符"/>
    <w:link w:val="7"/>
    <w:qFormat/>
    <w:uiPriority w:val="0"/>
    <w:rPr>
      <w:rFonts w:ascii="宋体" w:hAnsi="Courier New"/>
      <w:sz w:val="32"/>
      <w:szCs w:val="32"/>
    </w:rPr>
  </w:style>
  <w:style w:type="character" w:customStyle="1" w:styleId="25">
    <w:name w:val="批注框文本 字符"/>
    <w:link w:val="8"/>
    <w:qFormat/>
    <w:uiPriority w:val="0"/>
    <w:rPr>
      <w:sz w:val="18"/>
      <w:szCs w:val="18"/>
    </w:rPr>
  </w:style>
  <w:style w:type="character" w:customStyle="1" w:styleId="26">
    <w:name w:val="页脚 字符"/>
    <w:link w:val="9"/>
    <w:qFormat/>
    <w:uiPriority w:val="0"/>
    <w:rPr>
      <w:sz w:val="18"/>
      <w:szCs w:val="18"/>
    </w:rPr>
  </w:style>
  <w:style w:type="character" w:customStyle="1" w:styleId="27">
    <w:name w:val="页眉 字符"/>
    <w:link w:val="10"/>
    <w:qFormat/>
    <w:uiPriority w:val="0"/>
    <w:rPr>
      <w:sz w:val="18"/>
      <w:szCs w:val="18"/>
    </w:rPr>
  </w:style>
  <w:style w:type="character" w:customStyle="1" w:styleId="28">
    <w:name w:val="CharAttribute5"/>
    <w:qFormat/>
    <w:uiPriority w:val="0"/>
    <w:rPr>
      <w:rFonts w:ascii="仿宋_GB2312" w:eastAsia="仿宋_GB2312"/>
      <w:sz w:val="30"/>
    </w:rPr>
  </w:style>
  <w:style w:type="character" w:customStyle="1" w:styleId="29">
    <w:name w:val="日期 字符"/>
    <w:basedOn w:val="14"/>
    <w:link w:val="17"/>
    <w:qFormat/>
    <w:uiPriority w:val="0"/>
  </w:style>
  <w:style w:type="character" w:customStyle="1" w:styleId="30">
    <w:name w:val="正文文本缩进 字符1"/>
    <w:semiHidden/>
    <w:qFormat/>
    <w:uiPriority w:val="99"/>
    <w:rPr>
      <w:rFonts w:ascii="Calibri" w:hAnsi="Calibri"/>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11</Pages>
  <Words>3887</Words>
  <Characters>4212</Characters>
  <Lines>465</Lines>
  <Paragraphs>335</Paragraphs>
  <TotalTime>45</TotalTime>
  <ScaleCrop>false</ScaleCrop>
  <LinksUpToDate>false</LinksUpToDate>
  <CharactersWithSpaces>4288</CharactersWithSpaces>
  <Application>WPS Office_11.8.2.8808_F1E327BC-269C-435d-A152-05C5408002CA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2016-11-23T03:56:00Z</dcterms:created>
  <dc:creator>邓翠美</dc:creator>
  <cp:lastModifiedBy>白艳萍</cp:lastModifiedBy>
  <cp:lastPrinted>2022-09-19T08:25:00Z</cp:lastPrinted>
  <dcterms:modified xsi:type="dcterms:W3CDTF">2022-09-22T07:56:37Z</dcterms:modified>
  <dc:title>邱子谦</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2052-11.8.2.8808</vt:lpwstr>
  </property>
  <property fmtid="{D5CDD505-2E9C-101B-9397-08002B2CF9AE}" pid="3" name="ICV">
    <vt:lpwstr>13D566354A624845A93E3F7696BBEB29</vt:lpwstr>
  </property>
  <property fmtid="{D5CDD505-2E9C-101B-9397-08002B2CF9AE}" pid="4" name="KSOSaveFontToCloudKey">
    <vt:lpwstr>288039858_embed</vt:lpwstr>
  </property>
</Properties>
</file>